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3.odttf" ContentType="application/vnd.openxmlformats-officedocument.obfuscatedFont"/>
  <Override PartName="/word/fonts/font18.odttf" ContentType="application/vnd.openxmlformats-officedocument.obfuscatedFont"/>
  <Override PartName="/word/fonts/font22.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rFonts w:ascii="Palatino Linotype" w:hAnsi="Palatino Linotype" w:eastAsia="Palatino Linotype" w:cs="Palatino Linotype"/>
        </w:rPr>
      </w:pPr>
      <w:r>
        <w:rPr>
          <w:rFonts w:eastAsia="Palatino Linotype" w:cs="Palatino Linotype" w:ascii="Palatino Linotype" w:hAnsi="Palatino Linotype"/>
        </w:rPr>
        <w:drawing>
          <wp:anchor distT="0" distB="0" distL="114300" distR="114300" simplePos="0" relativeHeight="11" behindDoc="0" locked="0" layoutInCell="0" allowOverlap="1">
            <wp:simplePos x="0" y="0"/>
            <wp:positionH relativeFrom="page">
              <wp:posOffset>321945</wp:posOffset>
            </wp:positionH>
            <wp:positionV relativeFrom="page">
              <wp:posOffset>200025</wp:posOffset>
            </wp:positionV>
            <wp:extent cx="1400175" cy="1025525"/>
            <wp:effectExtent l="0" t="0" r="0" b="0"/>
            <wp:wrapSquare wrapText="bothSides"/>
            <wp:docPr id="1" name="image1.jpg"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A blue flag with yellow stars&#10;&#10;AI-generated content may be incorrect."/>
                    <pic:cNvPicPr>
                      <a:picLocks noChangeAspect="1" noChangeArrowheads="1"/>
                    </pic:cNvPicPr>
                  </pic:nvPicPr>
                  <pic:blipFill>
                    <a:blip r:embed="rId2"/>
                    <a:stretch>
                      <a:fillRect/>
                    </a:stretch>
                  </pic:blipFill>
                  <pic:spPr bwMode="auto">
                    <a:xfrm>
                      <a:off x="0" y="0"/>
                      <a:ext cx="1400175" cy="1025525"/>
                    </a:xfrm>
                    <a:prstGeom prst="rect">
                      <a:avLst/>
                    </a:prstGeom>
                    <a:noFill/>
                  </pic:spPr>
                </pic:pic>
              </a:graphicData>
            </a:graphic>
          </wp:anchor>
        </w:drawing>
      </w:r>
    </w:p>
    <w:tbl>
      <w:tblPr>
        <w:tblStyle w:val="Table1"/>
        <w:tblW w:w="11532" w:type="dxa"/>
        <w:jc w:val="start"/>
        <w:tblInd w:w="-257" w:type="dxa"/>
        <w:tblLayout w:type="fixed"/>
        <w:tblCellMar>
          <w:top w:w="0" w:type="dxa"/>
          <w:start w:w="108" w:type="dxa"/>
          <w:bottom w:w="0" w:type="dxa"/>
          <w:end w:w="108" w:type="dxa"/>
        </w:tblCellMar>
        <w:tblLook w:val="0400"/>
      </w:tblPr>
      <w:tblGrid>
        <w:gridCol w:w="1584"/>
        <w:gridCol w:w="9948"/>
      </w:tblGrid>
      <w:tr>
        <w:trPr/>
        <w:tc>
          <w:tcPr>
            <w:tcW w:w="11532" w:type="dxa"/>
            <w:gridSpan w:val="2"/>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jc w:val="center"/>
              <w:rPr>
                <w:shd w:fill="auto" w:val="clear"/>
              </w:rPr>
            </w:pPr>
            <w:r>
              <w:rPr>
                <w:rFonts w:eastAsia="Palatino Linotype" w:cs="Palatino Linotype" w:ascii="Palatino Linotype" w:hAnsi="Palatino Linotype"/>
                <w:b/>
                <w:bCs/>
                <w:color w:val="2F5496"/>
                <w:sz w:val="24"/>
                <w:szCs w:val="24"/>
                <w:highlight w:val="white"/>
              </w:rPr>
              <w:t xml:space="preserve">NATIONAL CONVENTION ON EUROPEAN INTEGRATION </w:t>
            </w:r>
          </w:p>
          <w:p>
            <w:pPr>
              <w:pStyle w:val="normal1"/>
              <w:widowControl/>
              <w:spacing w:lineRule="auto" w:line="240" w:before="0" w:after="0"/>
              <w:jc w:val="center"/>
              <w:rPr>
                <w:shd w:fill="auto" w:val="clear"/>
              </w:rPr>
            </w:pPr>
            <w:r>
              <w:rPr>
                <w:rFonts w:eastAsia="Palatino Linotype" w:cs="Palatino Linotype" w:ascii="Palatino Linotype" w:hAnsi="Palatino Linotype"/>
                <w:b/>
                <w:bCs/>
                <w:color w:val="2F5496"/>
                <w:sz w:val="26"/>
                <w:szCs w:val="26"/>
                <w:highlight w:val="white"/>
              </w:rPr>
              <w:t>Roundtable for Chapter  23 – Digital Services in Albania in the framework of negotiation process -  DSA Governance, Fundamental Rights and Institutional Coordination</w:t>
            </w:r>
          </w:p>
          <w:p>
            <w:pPr>
              <w:pStyle w:val="normal1"/>
              <w:widowControl/>
              <w:spacing w:lineRule="auto" w:line="240" w:before="0" w:after="0"/>
              <w:jc w:val="center"/>
              <w:rPr>
                <w:shd w:fill="auto" w:val="clear"/>
              </w:rPr>
            </w:pPr>
            <w:r>
              <w:rPr>
                <w:rFonts w:eastAsia="Palatino Linotype" w:cs="Palatino Linotype" w:ascii="Palatino Linotype" w:hAnsi="Palatino Linotype"/>
                <w:b/>
                <w:bCs/>
                <w:color w:val="2F5496"/>
                <w:sz w:val="24"/>
                <w:szCs w:val="24"/>
                <w:highlight w:val="yellow"/>
              </w:rPr>
              <w:t xml:space="preserve">30 June 2026, </w:t>
            </w:r>
            <w:r>
              <w:rPr>
                <w:rFonts w:eastAsia="Palatino Linotype" w:cs="Palatino Linotype" w:ascii="Palatino Linotype" w:hAnsi="Palatino Linotype"/>
                <w:b/>
                <w:bCs/>
                <w:color w:val="2F5496"/>
                <w:sz w:val="24"/>
                <w:szCs w:val="24"/>
                <w:highlight w:val="yellow"/>
              </w:rPr>
              <w:t>09</w:t>
            </w:r>
            <w:r>
              <w:rPr>
                <w:rFonts w:eastAsia="Palatino Linotype" w:cs="Palatino Linotype" w:ascii="Palatino Linotype" w:hAnsi="Palatino Linotype"/>
                <w:b/>
                <w:bCs/>
                <w:color w:val="2F5496"/>
                <w:sz w:val="24"/>
                <w:szCs w:val="24"/>
                <w:highlight w:val="yellow"/>
              </w:rPr>
              <w:t>:00 – 1</w:t>
            </w:r>
            <w:r>
              <w:rPr>
                <w:rFonts w:eastAsia="Palatino Linotype" w:cs="Palatino Linotype" w:ascii="Palatino Linotype" w:hAnsi="Palatino Linotype"/>
                <w:b/>
                <w:bCs/>
                <w:color w:val="2F5496"/>
                <w:sz w:val="24"/>
                <w:szCs w:val="24"/>
                <w:highlight w:val="yellow"/>
              </w:rPr>
              <w:t>1</w:t>
            </w:r>
            <w:r>
              <w:rPr>
                <w:rFonts w:eastAsia="Palatino Linotype" w:cs="Palatino Linotype" w:ascii="Palatino Linotype" w:hAnsi="Palatino Linotype"/>
                <w:b/>
                <w:bCs/>
                <w:color w:val="2F5496"/>
                <w:sz w:val="24"/>
                <w:szCs w:val="24"/>
                <w:highlight w:val="yellow"/>
              </w:rPr>
              <w:t xml:space="preserve">:00 </w:t>
            </w:r>
          </w:p>
          <w:p>
            <w:pPr>
              <w:pStyle w:val="normal1"/>
              <w:widowControl/>
              <w:spacing w:lineRule="auto" w:line="240" w:before="0" w:after="0"/>
              <w:jc w:val="center"/>
              <w:rPr>
                <w:shd w:fill="auto" w:val="clear"/>
              </w:rPr>
            </w:pPr>
            <w:r>
              <w:rPr>
                <w:rFonts w:eastAsia="Palatino Linotype" w:cs="Palatino Linotype" w:ascii="Palatino Linotype" w:hAnsi="Palatino Linotype"/>
                <w:b/>
                <w:bCs/>
                <w:color w:val="2F5496"/>
                <w:sz w:val="24"/>
                <w:szCs w:val="24"/>
                <w:highlight w:val="yellow"/>
              </w:rPr>
              <w:t xml:space="preserve">TBD, Tirana </w:t>
            </w:r>
          </w:p>
          <w:p>
            <w:pPr>
              <w:pStyle w:val="normal1"/>
              <w:keepNext w:val="false"/>
              <w:keepLines w:val="false"/>
              <w:widowControl/>
              <w:shd w:val="clear" w:fill="auto"/>
              <w:spacing w:lineRule="auto" w:line="276"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Palatino Linotype" w:cs="Palatino Linotype" w:ascii="Palatino Linotype" w:hAnsi="Palatino Linotype"/>
                <w:b/>
                <w:bCs/>
              </w:rPr>
              <w:t xml:space="preserve">The Electronic and Postal Communications </w:t>
            </w:r>
            <w:r>
              <w:rPr>
                <w:rFonts w:eastAsia="Palatino Linotype" w:cs="Palatino Linotype" w:ascii="Palatino Linotype" w:hAnsi="Palatino Linotype"/>
                <w:b/>
                <w:bCs/>
                <w:i w:val="false"/>
                <w:iCs w:val="false"/>
                <w:caps w:val="false"/>
                <w:smallCaps w:val="false"/>
                <w:strike w:val="false"/>
                <w:dstrike w:val="false"/>
                <w:color w:val="000000"/>
                <w:position w:val="0"/>
                <w:sz w:val="22"/>
                <w:szCs w:val="22"/>
                <w:u w:val="none"/>
                <w:shd w:fill="auto" w:val="clear"/>
                <w:vertAlign w:val="baseline"/>
              </w:rPr>
              <w:t>Authorit</w:t>
            </w:r>
            <w:r>
              <w:rPr>
                <w:rFonts w:eastAsia="Palatino Linotype" w:cs="Palatino Linotype" w:ascii="Palatino Linotype" w:hAnsi="Palatino Linotype"/>
                <w:b/>
                <w:bCs/>
              </w:rPr>
              <w:t>y</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rPr>
              <w:t>in cooperation with</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b/>
                <w:bCs/>
              </w:rPr>
              <w:t xml:space="preserve">European Movement Albania </w:t>
            </w:r>
            <w:r>
              <w:rPr>
                <w:rFonts w:eastAsia="Palatino Linotype" w:cs="Palatino Linotype" w:ascii="Palatino Linotype" w:hAnsi="Palatino Linotype"/>
                <w:b/>
                <w:bCs/>
                <w:i w:val="false"/>
                <w:iCs w:val="false"/>
                <w:caps w:val="false"/>
                <w:smallCaps w:val="false"/>
                <w:strike w:val="false"/>
                <w:dstrike w:val="false"/>
                <w:color w:val="000000"/>
                <w:position w:val="0"/>
                <w:sz w:val="22"/>
                <w:szCs w:val="22"/>
                <w:u w:val="none"/>
                <w:shd w:fill="auto" w:val="clear"/>
                <w:vertAlign w:val="baseline"/>
              </w:rPr>
              <w:t>(EMA)</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rPr>
              <w:t>is pleased to invite you</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rPr>
              <w:t xml:space="preserve">to the next meeting of the </w:t>
            </w:r>
            <w:r>
              <w:rPr>
                <w:rFonts w:eastAsia="Palatino Linotype" w:cs="Palatino Linotype" w:ascii="Palatino Linotype" w:hAnsi="Palatino Linotype"/>
                <w:b/>
                <w:bCs/>
              </w:rPr>
              <w:t xml:space="preserve">Working Group for Chapter </w:t>
            </w:r>
            <w:r>
              <w:rPr>
                <w:rFonts w:eastAsia="Palatino Linotype" w:cs="Palatino Linotype" w:ascii="Palatino Linotype" w:hAnsi="Palatino Linotype"/>
                <w:b/>
                <w:bCs/>
                <w:i w:val="false"/>
                <w:iCs w:val="false"/>
                <w:caps w:val="false"/>
                <w:smallCaps w:val="false"/>
                <w:strike w:val="false"/>
                <w:dstrike w:val="false"/>
                <w:color w:val="000000"/>
                <w:position w:val="0"/>
                <w:sz w:val="22"/>
                <w:szCs w:val="22"/>
                <w:u w:val="none"/>
                <w:shd w:fill="auto" w:val="clear"/>
                <w:vertAlign w:val="baseline"/>
              </w:rPr>
              <w:t xml:space="preserve"> 23 - </w:t>
            </w:r>
            <w:r>
              <w:rPr>
                <w:rFonts w:eastAsia="Palatino Linotype" w:cs="Palatino Linotype" w:ascii="Palatino Linotype" w:hAnsi="Palatino Linotype"/>
                <w:b/>
                <w:bCs/>
              </w:rPr>
              <w:t>Judicial</w:t>
            </w:r>
            <w:r>
              <w:rPr>
                <w:rFonts w:eastAsia="Palatino Linotype" w:cs="Palatino Linotype" w:ascii="Palatino Linotype" w:hAnsi="Palatino Linotype"/>
                <w:b/>
                <w:bCs/>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b/>
                <w:bCs/>
              </w:rPr>
              <w:t>and the Fundamental Rights</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organ</w:t>
            </w:r>
            <w:r>
              <w:rPr>
                <w:rFonts w:eastAsia="Palatino Linotype" w:cs="Palatino Linotype" w:ascii="Palatino Linotype" w:hAnsi="Palatino Linotype"/>
              </w:rPr>
              <w:t>ised in the framework of the</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b/>
                <w:bCs/>
              </w:rPr>
              <w:t xml:space="preserve">National Convention On European Integration, </w:t>
            </w:r>
            <w:r>
              <w:rPr>
                <w:rFonts w:eastAsia="Palatino Linotype" w:cs="Palatino Linotype" w:ascii="Palatino Linotype" w:hAnsi="Palatino Linotype"/>
              </w:rPr>
              <w:t>supported by the European</w:t>
            </w:r>
            <w:r>
              <w:rPr>
                <w:rFonts w:eastAsia="Palatino Linotype" w:cs="Palatino Linotype" w:ascii="Palatino Linotype" w:hAnsi="Palatino Linotype"/>
                <w:b/>
                <w:bCs/>
                <w:i w:val="false"/>
                <w:iCs w:val="false"/>
                <w:caps w:val="false"/>
                <w:smallCaps w:val="false"/>
                <w:strike w:val="false"/>
                <w:dstrike w:val="false"/>
                <w:color w:val="000000"/>
                <w:position w:val="0"/>
                <w:sz w:val="22"/>
                <w:szCs w:val="22"/>
                <w:u w:val="none"/>
                <w:shd w:fill="auto" w:val="clear"/>
                <w:vertAlign w:val="baseline"/>
              </w:rPr>
              <w:t xml:space="preserve"> Unio</w:t>
            </w:r>
            <w:r>
              <w:rPr>
                <w:rFonts w:eastAsia="Palatino Linotype" w:cs="Palatino Linotype" w:ascii="Palatino Linotype" w:hAnsi="Palatino Linotype"/>
                <w:b/>
                <w:bCs/>
              </w:rPr>
              <w:t>n</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w:t>
            </w:r>
          </w:p>
          <w:p>
            <w:pPr>
              <w:pStyle w:val="normal1"/>
              <w:keepNext w:val="false"/>
              <w:keepLines w:val="false"/>
              <w:widowControl/>
              <w:shd w:val="clear" w:fill="auto"/>
              <w:spacing w:lineRule="auto" w:line="240" w:before="0" w:after="0"/>
              <w:ind w:hanging="0" w:start="0" w:end="0"/>
              <w:jc w:val="both"/>
              <w:rPr>
                <w:rFonts w:ascii="Palatino Linotype" w:hAnsi="Palatino Linotype" w:eastAsia="Palatino Linotype" w:cs="Palatino Linotype"/>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widowControl/>
              <w:shd w:val="clear" w:fill="auto"/>
              <w:spacing w:lineRule="auto" w:line="276" w:before="0" w:after="0"/>
              <w:ind w:hanging="0" w:start="0" w:end="0"/>
              <w:jc w:val="both"/>
              <w:rPr/>
            </w:pPr>
            <w:r>
              <w:rPr>
                <w:rFonts w:eastAsia="Palatino Linotype" w:cs="Palatino Linotype" w:ascii="Palatino Linotype" w:hAnsi="Palatino Linotype"/>
                <w:b/>
                <w:bCs/>
              </w:rPr>
              <w:t xml:space="preserve">The Working Group for Chapter </w:t>
            </w:r>
            <w:r>
              <w:rPr>
                <w:rFonts w:eastAsia="Palatino Linotype" w:cs="Palatino Linotype" w:ascii="Palatino Linotype" w:hAnsi="Palatino Linotype"/>
                <w:b/>
                <w:bCs/>
                <w:i w:val="false"/>
                <w:iCs w:val="false"/>
                <w:caps w:val="false"/>
                <w:smallCaps w:val="false"/>
                <w:strike w:val="false"/>
                <w:dstrike w:val="false"/>
                <w:color w:val="000000"/>
                <w:position w:val="0"/>
                <w:sz w:val="22"/>
                <w:szCs w:val="22"/>
                <w:u w:val="none"/>
                <w:shd w:fill="auto" w:val="clear"/>
                <w:vertAlign w:val="baseline"/>
              </w:rPr>
              <w:t>23</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rPr>
              <w:t>provides a platform for consultation and dialogue</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rPr>
              <w:t xml:space="preserve">enabling the proactive involvement of non-state actors in Albania’s EU negotiation </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proces</w:t>
            </w:r>
            <w:r>
              <w:rPr>
                <w:rFonts w:eastAsia="Palatino Linotype" w:cs="Palatino Linotype" w:ascii="Palatino Linotype" w:hAnsi="Palatino Linotype"/>
              </w:rPr>
              <w:t>s</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r>
              <w:rPr>
                <w:rFonts w:eastAsia="Palatino Linotype" w:cs="Palatino Linotype" w:ascii="Palatino Linotype" w:hAnsi="Palatino Linotype"/>
              </w:rPr>
              <w:t>Participants include representatives of civil society, academia, legal professionals, and other relevant stakeholders. The roundtable aims not only to provide information on the legislative process, but also to ensure that civil society and interest groups are able to submit recommendations and actively follow and monitor policymaking throughout all stages.</w:t>
            </w:r>
          </w:p>
          <w:p>
            <w:pPr>
              <w:pStyle w:val="normal1"/>
              <w:keepNext w:val="false"/>
              <w:keepLines w:val="false"/>
              <w:widowControl/>
              <w:shd w:val="clear" w:fill="auto"/>
              <w:spacing w:lineRule="auto" w:line="276" w:before="0" w:after="0"/>
              <w:ind w:hanging="0" w:start="0" w:end="0"/>
              <w:jc w:val="both"/>
              <w:rPr/>
            </w:pPr>
            <w:r>
              <w:rPr/>
            </w:r>
          </w:p>
          <w:p>
            <w:pPr>
              <w:pStyle w:val="normal1"/>
              <w:keepNext w:val="false"/>
              <w:keepLines w:val="false"/>
              <w:widowControl/>
              <w:shd w:val="clear" w:fill="auto"/>
              <w:spacing w:lineRule="auto" w:line="276" w:before="0" w:after="0"/>
              <w:ind w:hanging="0" w:start="0" w:end="0"/>
              <w:jc w:val="both"/>
              <w:rPr/>
            </w:pPr>
            <w:r>
              <w:rPr>
                <w:rFonts w:eastAsia="Palatino Linotype" w:cs="Palatino Linotype" w:ascii="Palatino Linotype" w:hAnsi="Palatino Linotype"/>
              </w:rPr>
              <w:t xml:space="preserve">As Albania rapidly aligns its legal framework with the EU acquis under the negotiation chapters, it continues to face a recurring implementation risk: European legislation may be formally adopted but remain weakly enforced or fail to produce positive effects in practice. This risk is particularly pronounced in the case of complex governance-oriented regulations such as the </w:t>
            </w:r>
            <w:r>
              <w:rPr>
                <w:rFonts w:eastAsia="Palatino Linotype" w:cs="Palatino Linotype" w:ascii="Palatino Linotype" w:hAnsi="Palatino Linotype"/>
                <w:b/>
                <w:bCs/>
              </w:rPr>
              <w:t>Digital Services Act (DSA)</w:t>
            </w:r>
            <w:r>
              <w:rPr>
                <w:rFonts w:eastAsia="Palatino Linotype" w:cs="Palatino Linotype" w:ascii="Palatino Linotype" w:hAnsi="Palatino Linotype"/>
              </w:rPr>
              <w:t>, whose effectiveness depends not only on legal approximation, but also on institutional preparedness and sustained cooperation among public authorities, civil society, and the private sector. In this context, the focus of this roundtable will be the discussion of the harmonisation of Albanian legislation with the DSA, which provides for the regulation, coordination, and management of digital services offered by national and international operators, with the objective of standardising the regulation of digital service provision and strengthening the protection of users of such services, from the perspective of civil society and other non-state actors.</w:t>
            </w:r>
          </w:p>
          <w:p>
            <w:pPr>
              <w:pStyle w:val="normal1"/>
              <w:keepNext w:val="false"/>
              <w:keepLines w:val="false"/>
              <w:widowControl/>
              <w:shd w:val="clear" w:fill="auto"/>
              <w:spacing w:lineRule="auto" w:line="276" w:before="0" w:after="0"/>
              <w:ind w:hanging="0" w:start="0" w:end="0"/>
              <w:jc w:val="both"/>
              <w:rPr/>
            </w:pPr>
            <w:r>
              <w:rPr/>
            </w:r>
          </w:p>
          <w:p>
            <w:pPr>
              <w:pStyle w:val="normal1"/>
              <w:keepNext w:val="false"/>
              <w:keepLines w:val="false"/>
              <w:widowControl/>
              <w:shd w:val="clear" w:fill="auto"/>
              <w:spacing w:lineRule="auto" w:line="276" w:before="0" w:after="0"/>
              <w:ind w:hanging="0" w:start="0" w:end="0"/>
              <w:jc w:val="both"/>
              <w:rPr>
                <w:rFonts w:ascii="Palatino Linotype" w:hAnsi="Palatino Linotype" w:eastAsia="Palatino Linotype" w:cs="Palatino Linotype"/>
              </w:rPr>
            </w:pPr>
            <w:r>
              <w:rPr>
                <w:rFonts w:eastAsia="Palatino Linotype" w:cs="Palatino Linotype" w:ascii="Palatino Linotype" w:hAnsi="Palatino Linotype"/>
              </w:rPr>
              <w:t>The roundtable takes place at a stage when</w:t>
            </w:r>
            <w:r>
              <w:rPr>
                <w:rFonts w:eastAsia="Palatino Linotype" w:cs="Palatino Linotype" w:ascii="Palatino Linotype" w:hAnsi="Palatino Linotype"/>
                <w:b/>
                <w:bCs/>
              </w:rPr>
              <w:t xml:space="preserve"> discussions on the transposition of the DSA into Albanian legislation</w:t>
            </w:r>
            <w:r>
              <w:rPr>
                <w:rFonts w:eastAsia="Palatino Linotype" w:cs="Palatino Linotype" w:ascii="Palatino Linotype" w:hAnsi="Palatino Linotype"/>
              </w:rPr>
              <w:t xml:space="preserve"> have gained increased attention, and where participation through information-sharing, dialogue, and the provision of recommendations is particularly important, especially regarding the protection of personal data, the guarantee of security in service provision, and the establishment of mechanisms safeguarding freedom of expression and access to information. This session will also present the experience of Slovakia and </w:t>
            </w:r>
            <w:r>
              <w:rPr>
                <w:rFonts w:eastAsia="Palatino Linotype" w:cs="Palatino Linotype" w:ascii="Palatino Linotype" w:hAnsi="Palatino Linotype"/>
              </w:rPr>
              <w:t>EU</w:t>
            </w:r>
            <w:r>
              <w:rPr>
                <w:rFonts w:eastAsia="Palatino Linotype" w:cs="Palatino Linotype" w:ascii="Palatino Linotype" w:hAnsi="Palatino Linotype"/>
              </w:rPr>
              <w:t xml:space="preserve"> regarding the DSA, including the key findings of EMA’s policy research prepared by Slovak experts, with a focus on the Albanian case and the challenges of legal and institutional approximation.</w:t>
            </w:r>
          </w:p>
          <w:p>
            <w:pPr>
              <w:pStyle w:val="normal1"/>
              <w:keepNext w:val="false"/>
              <w:keepLines w:val="false"/>
              <w:widowControl/>
              <w:shd w:val="clear" w:fill="auto"/>
              <w:spacing w:lineRule="auto" w:line="276" w:before="0" w:after="0"/>
              <w:ind w:hanging="0" w:start="0" w:end="0"/>
              <w:jc w:val="both"/>
              <w:rPr>
                <w:rFonts w:ascii="Calibri" w:hAnsi="Calibri" w:eastAsia="Calibri" w:cs="Calibri"/>
                <w:b w:val="false"/>
                <w:bCs w:val="false"/>
                <w:i w:val="false"/>
                <w:iCs w:val="false"/>
                <w:caps w:val="false"/>
                <w:smallCaps w:val="false"/>
                <w:strike w:val="false"/>
                <w:dstrike w:val="false"/>
                <w:position w:val="0"/>
                <w:sz w:val="22"/>
                <w:szCs w:val="22"/>
                <w:shd w:fill="auto" w:val="clear"/>
                <w:vertAlign w:val="baseline"/>
              </w:rPr>
            </w:pPr>
            <w:r>
              <w:rPr>
                <w:rFonts w:eastAsia="Palatino Linotype" w:cs="Palatino Linotype" w:ascii="Palatino Linotype" w:hAnsi="Palatino Linotype"/>
              </w:rPr>
              <w:t xml:space="preserve">We kindly invite you to confirm your participation at </w:t>
            </w:r>
            <w:hyperlink r:id="rId3">
              <w:r>
                <w:rPr>
                  <w:rStyle w:val="Style3"/>
                  <w:rFonts w:eastAsia="Palatino Linotype" w:cs="Palatino Linotype" w:ascii="Palatino Linotype" w:hAnsi="Palatino Linotype"/>
                  <w:b w:val="false"/>
                  <w:bCs w:val="false"/>
                  <w:i w:val="false"/>
                  <w:iCs w:val="false"/>
                  <w:caps w:val="false"/>
                  <w:smallCaps w:val="false"/>
                  <w:strike w:val="false"/>
                  <w:dstrike w:val="false"/>
                  <w:color w:val="0563C1"/>
                  <w:position w:val="0"/>
                  <w:sz w:val="22"/>
                  <w:szCs w:val="22"/>
                  <w:u w:val="single"/>
                  <w:shd w:fill="auto" w:val="clear"/>
                  <w:vertAlign w:val="baseline"/>
                </w:rPr>
                <w:t>info@em-al.org</w:t>
              </w:r>
            </w:hyperlink>
            <w:r>
              <w:rPr>
                <w:rFonts w:eastAsia="Palatino Linotype" w:cs="Palatino Linotype" w:ascii="Palatino Linotype" w:hAnsi="Palatino Linotype"/>
                <w:b w:val="false"/>
                <w:bCs w:val="false"/>
                <w:i w:val="false"/>
                <w:iCs w:val="false"/>
                <w:caps w:val="false"/>
                <w:smallCaps w:val="false"/>
                <w:strike w:val="false"/>
                <w:dstrike w:val="false"/>
                <w:color w:val="0563C1"/>
                <w:position w:val="0"/>
                <w:sz w:val="22"/>
                <w:szCs w:val="22"/>
                <w:u w:val="single"/>
                <w:shd w:fill="auto" w:val="clear"/>
                <w:vertAlign w:val="baseline"/>
              </w:rPr>
              <w:t xml:space="preserve">. </w:t>
            </w:r>
          </w:p>
          <w:p>
            <w:pPr>
              <w:pStyle w:val="normal1"/>
              <w:widowControl/>
              <w:shd w:val="clear" w:fill="auto"/>
              <w:spacing w:lineRule="auto" w:line="276" w:before="0" w:after="0"/>
              <w:ind w:hanging="0" w:start="0" w:end="0"/>
              <w:jc w:val="both"/>
              <w:rPr>
                <w:rFonts w:ascii="Calibri" w:hAnsi="Calibri" w:eastAsia="Calibri" w:cs="Calibri"/>
                <w:b w:val="false"/>
                <w:bCs w:val="false"/>
                <w:i w:val="false"/>
                <w:iCs w:val="false"/>
                <w:caps w:val="false"/>
                <w:smallCaps w:val="false"/>
                <w:strike w:val="false"/>
                <w:dstrike w:val="false"/>
                <w:position w:val="0"/>
                <w:sz w:val="22"/>
                <w:szCs w:val="22"/>
                <w:shd w:fill="auto" w:val="clear"/>
                <w:vertAlign w:val="baseline"/>
              </w:rPr>
            </w:pPr>
            <w:r>
              <w:rPr>
                <w:rFonts w:eastAsia="Palatino Linotype" w:cs="Palatino Linotype" w:ascii="Palatino Linotype" w:hAnsi="Palatino Linotype"/>
              </w:rPr>
              <w:t>We look forward to your contribution to this roundtable</w:t>
            </w:r>
            <w:r>
              <w:rPr>
                <w:rFonts w:eastAsia="Palatino Linotype" w:cs="Palatino Linotype" w:ascii="Palatino Linotype" w:hAnsi="Palatino Linotype"/>
                <w:b w:val="false"/>
                <w:bCs w:val="false"/>
                <w:i w:val="false"/>
                <w:iCs w:val="false"/>
                <w:caps w:val="false"/>
                <w:smallCaps w:val="false"/>
                <w:strike w:val="false"/>
                <w:dstrike w:val="false"/>
                <w:position w:val="0"/>
                <w:sz w:val="22"/>
                <w:szCs w:val="22"/>
                <w:shd w:fill="auto" w:val="clear"/>
                <w:vertAlign w:val="baseline"/>
              </w:rPr>
              <w:t>!</w:t>
            </w:r>
          </w:p>
        </w:tc>
      </w:tr>
      <w:tr>
        <w:trPr/>
        <w:tc>
          <w:tcPr>
            <w:tcW w:w="11532" w:type="dxa"/>
            <w:gridSpan w:val="2"/>
            <w:tcBorders>
              <w:top w:val="single" w:sz="4" w:space="0" w:color="000000"/>
              <w:start w:val="single" w:sz="4" w:space="0" w:color="000000"/>
              <w:bottom w:val="single" w:sz="4" w:space="0" w:color="000000"/>
              <w:end w:val="single" w:sz="4" w:space="0" w:color="000000"/>
            </w:tcBorders>
          </w:tcPr>
          <w:p>
            <w:pPr>
              <w:pStyle w:val="normal1"/>
              <w:spacing w:lineRule="auto" w:line="240" w:before="0" w:after="0"/>
              <w:jc w:val="center"/>
              <w:rPr/>
            </w:pPr>
            <w:r>
              <w:rPr>
                <w:rFonts w:eastAsia="Palatino Linotype" w:cs="Palatino Linotype" w:ascii="Palatino Linotype" w:hAnsi="Palatino Linotype"/>
                <w:b/>
                <w:bCs/>
                <w:color w:val="2F5496"/>
                <w:sz w:val="24"/>
                <w:szCs w:val="24"/>
                <w:highlight w:val="white"/>
              </w:rPr>
              <w:t xml:space="preserve">NATIONAL CONVENTION ON EUROPEAN INTEGRATION </w:t>
            </w:r>
          </w:p>
          <w:p>
            <w:pPr>
              <w:pStyle w:val="normal1"/>
              <w:spacing w:lineRule="auto" w:line="240" w:before="0" w:after="0"/>
              <w:jc w:val="center"/>
              <w:rPr/>
            </w:pPr>
            <w:r>
              <w:rPr>
                <w:rFonts w:eastAsia="Palatino Linotype" w:cs="Palatino Linotype" w:ascii="Palatino Linotype" w:hAnsi="Palatino Linotype"/>
                <w:b/>
                <w:bCs/>
                <w:color w:val="2F5496"/>
                <w:sz w:val="26"/>
                <w:szCs w:val="26"/>
                <w:highlight w:val="white"/>
              </w:rPr>
              <w:t>Roundtable for Chapter  23 – Digital Services in Albania in the framework of negotiation process -  DSA Governance, Fundamental Rights and Institutional Coordination</w:t>
            </w:r>
          </w:p>
          <w:p>
            <w:pPr>
              <w:pStyle w:val="normal1"/>
              <w:spacing w:lineRule="auto" w:line="240" w:before="0" w:after="0"/>
              <w:jc w:val="center"/>
              <w:rPr/>
            </w:pPr>
            <w:r>
              <w:rPr>
                <w:rFonts w:eastAsia="Palatino Linotype" w:cs="Palatino Linotype" w:ascii="Palatino Linotype" w:hAnsi="Palatino Linotype"/>
                <w:b/>
                <w:bCs/>
                <w:color w:val="2F5496"/>
                <w:sz w:val="24"/>
                <w:szCs w:val="24"/>
                <w:highlight w:val="yellow"/>
              </w:rPr>
              <w:t xml:space="preserve">30 June 2026, </w:t>
            </w:r>
            <w:r>
              <w:rPr>
                <w:rFonts w:eastAsia="Palatino Linotype" w:cs="Palatino Linotype" w:ascii="Palatino Linotype" w:hAnsi="Palatino Linotype"/>
                <w:b/>
                <w:bCs/>
                <w:color w:val="2F5496"/>
                <w:sz w:val="24"/>
                <w:szCs w:val="24"/>
                <w:highlight w:val="yellow"/>
              </w:rPr>
              <w:t>09</w:t>
            </w:r>
            <w:r>
              <w:rPr>
                <w:rFonts w:eastAsia="Palatino Linotype" w:cs="Palatino Linotype" w:ascii="Palatino Linotype" w:hAnsi="Palatino Linotype"/>
                <w:b/>
                <w:bCs/>
                <w:color w:val="2F5496"/>
                <w:sz w:val="24"/>
                <w:szCs w:val="24"/>
                <w:highlight w:val="yellow"/>
              </w:rPr>
              <w:t>:00 – 1</w:t>
            </w:r>
            <w:r>
              <w:rPr>
                <w:rFonts w:eastAsia="Palatino Linotype" w:cs="Palatino Linotype" w:ascii="Palatino Linotype" w:hAnsi="Palatino Linotype"/>
                <w:b/>
                <w:bCs/>
                <w:color w:val="2F5496"/>
                <w:sz w:val="24"/>
                <w:szCs w:val="24"/>
                <w:highlight w:val="yellow"/>
              </w:rPr>
              <w:t>1</w:t>
            </w:r>
            <w:r>
              <w:rPr>
                <w:rFonts w:eastAsia="Palatino Linotype" w:cs="Palatino Linotype" w:ascii="Palatino Linotype" w:hAnsi="Palatino Linotype"/>
                <w:b/>
                <w:bCs/>
                <w:color w:val="2F5496"/>
                <w:sz w:val="24"/>
                <w:szCs w:val="24"/>
                <w:highlight w:val="yellow"/>
              </w:rPr>
              <w:t xml:space="preserve">:00 </w:t>
            </w:r>
          </w:p>
          <w:p>
            <w:pPr>
              <w:pStyle w:val="normal1"/>
              <w:spacing w:lineRule="auto" w:line="240" w:before="0" w:after="0"/>
              <w:jc w:val="center"/>
              <w:rPr>
                <w:rFonts w:ascii="Palatino Linotype" w:hAnsi="Palatino Linotype" w:eastAsia="Palatino Linotype" w:cs="Palatino Linotype"/>
                <w:b/>
                <w:bCs/>
                <w:color w:val="2F5496"/>
                <w:sz w:val="24"/>
                <w:szCs w:val="24"/>
                <w:highlight w:val="yellow"/>
              </w:rPr>
            </w:pPr>
            <w:r>
              <w:rPr>
                <w:rFonts w:eastAsia="Palatino Linotype" w:cs="Palatino Linotype" w:ascii="Palatino Linotype" w:hAnsi="Palatino Linotype"/>
                <w:b/>
                <w:bCs/>
                <w:color w:val="2F5496"/>
                <w:sz w:val="24"/>
                <w:szCs w:val="24"/>
                <w:highlight w:val="yellow"/>
              </w:rPr>
              <w:t xml:space="preserve">TBD, Tirana </w:t>
            </w:r>
          </w:p>
        </w:tc>
      </w:tr>
      <w:tr>
        <w:trPr/>
        <w:tc>
          <w:tcPr>
            <w:tcW w:w="11532" w:type="dxa"/>
            <w:gridSpan w:val="2"/>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rPr>
            </w:pPr>
            <w:r>
              <w:rPr>
                <w:rFonts w:eastAsia="Palatino Linotype" w:cs="Palatino Linotype" w:ascii="Palatino Linotype" w:hAnsi="Palatino Linotype"/>
                <w:b/>
                <w:bCs/>
              </w:rPr>
            </w:r>
          </w:p>
        </w:tc>
      </w:tr>
      <w:tr>
        <w:trPr/>
        <w:tc>
          <w:tcPr>
            <w:tcW w:w="158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b/>
                <w:bCs/>
                <w:sz w:val="24"/>
                <w:szCs w:val="24"/>
              </w:rPr>
              <w:t>08</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45</w:t>
            </w:r>
            <w:r>
              <w:rPr>
                <w:rFonts w:eastAsia="Palatino Linotype" w:cs="Palatino Linotype" w:ascii="Palatino Linotype" w:hAnsi="Palatino Linotype"/>
                <w:b/>
                <w:bCs/>
                <w:sz w:val="24"/>
                <w:szCs w:val="24"/>
              </w:rPr>
              <w:t xml:space="preserve"> – </w:t>
            </w:r>
            <w:r>
              <w:rPr>
                <w:rFonts w:eastAsia="Palatino Linotype" w:cs="Palatino Linotype" w:ascii="Palatino Linotype" w:hAnsi="Palatino Linotype"/>
                <w:b/>
                <w:bCs/>
                <w:sz w:val="24"/>
                <w:szCs w:val="24"/>
              </w:rPr>
              <w:t>09</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0</w:t>
            </w:r>
          </w:p>
        </w:tc>
        <w:tc>
          <w:tcPr>
            <w:tcW w:w="9948"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pPr>
            <w:r>
              <w:rPr>
                <w:rFonts w:eastAsia="Palatino Linotype" w:cs="Palatino Linotype" w:ascii="Palatino Linotype" w:hAnsi="Palatino Linotype"/>
                <w:b/>
                <w:bCs/>
                <w:color w:val="2F5496"/>
                <w:sz w:val="24"/>
                <w:szCs w:val="24"/>
              </w:rPr>
              <w:t>Registration of participants</w:t>
            </w:r>
          </w:p>
        </w:tc>
      </w:tr>
      <w:tr>
        <w:trPr/>
        <w:tc>
          <w:tcPr>
            <w:tcW w:w="158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r>
          </w:p>
        </w:tc>
        <w:tc>
          <w:tcPr>
            <w:tcW w:w="9948"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sz w:val="24"/>
                <w:szCs w:val="24"/>
              </w:rPr>
            </w:r>
          </w:p>
        </w:tc>
      </w:tr>
      <w:tr>
        <w:trPr/>
        <w:tc>
          <w:tcPr>
            <w:tcW w:w="158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b/>
                <w:bCs/>
                <w:sz w:val="24"/>
                <w:szCs w:val="24"/>
              </w:rPr>
              <w:t>09</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 xml:space="preserve">0 – </w:t>
            </w:r>
            <w:r>
              <w:rPr>
                <w:rFonts w:eastAsia="Palatino Linotype" w:cs="Palatino Linotype" w:ascii="Palatino Linotype" w:hAnsi="Palatino Linotype"/>
                <w:b/>
                <w:bCs/>
                <w:sz w:val="24"/>
                <w:szCs w:val="24"/>
              </w:rPr>
              <w:t>09</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2</w:t>
            </w:r>
            <w:r>
              <w:rPr>
                <w:rFonts w:eastAsia="Palatino Linotype" w:cs="Palatino Linotype" w:ascii="Palatino Linotype" w:hAnsi="Palatino Linotype"/>
                <w:b/>
                <w:bCs/>
                <w:sz w:val="24"/>
                <w:szCs w:val="24"/>
              </w:rPr>
              <w:t>0</w:t>
            </w:r>
          </w:p>
        </w:tc>
        <w:tc>
          <w:tcPr>
            <w:tcW w:w="9948"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pPr>
            <w:r>
              <w:rPr>
                <w:rFonts w:eastAsia="Palatino Linotype" w:cs="Palatino Linotype" w:ascii="Palatino Linotype" w:hAnsi="Palatino Linotype"/>
                <w:b/>
                <w:bCs/>
                <w:color w:val="2F5496"/>
                <w:sz w:val="24"/>
                <w:szCs w:val="24"/>
              </w:rPr>
              <w:t xml:space="preserve">Opening of the Meeting </w:t>
            </w:r>
            <w:r>
              <w:rPr>
                <w:rFonts w:eastAsia="Palatino Linotype" w:cs="Palatino Linotype" w:ascii="Palatino Linotype" w:hAnsi="Palatino Linotype"/>
                <w:sz w:val="24"/>
                <w:szCs w:val="24"/>
              </w:rPr>
              <w:br/>
            </w:r>
          </w:p>
          <w:p>
            <w:pPr>
              <w:pStyle w:val="normal1"/>
              <w:widowControl/>
              <w:spacing w:lineRule="auto" w:line="240" w:before="0" w:after="0"/>
              <w:rPr/>
            </w:pPr>
            <w:r>
              <w:rPr>
                <w:rFonts w:eastAsia="Palatino Linotype" w:cs="Palatino Linotype" w:ascii="Palatino Linotype" w:hAnsi="Palatino Linotype"/>
                <w:b/>
                <w:bCs/>
                <w:color w:val="2F5496"/>
                <w:sz w:val="24"/>
                <w:szCs w:val="24"/>
              </w:rPr>
              <w:t>Gentian Sala</w:t>
            </w:r>
            <w:r>
              <w:rPr>
                <w:rFonts w:eastAsia="Palatino Linotype" w:cs="Palatino Linotype" w:ascii="Palatino Linotype" w:hAnsi="Palatino Linotype"/>
                <w:sz w:val="24"/>
                <w:szCs w:val="24"/>
              </w:rPr>
              <w:t>, Chairperson</w:t>
            </w:r>
            <w:r>
              <w:rPr>
                <w:rFonts w:eastAsia="Palatino Linotype" w:cs="Palatino Linotype" w:ascii="Palatino Linotype" w:hAnsi="Palatino Linotype"/>
                <w:b w:val="false"/>
                <w:bCs w:val="false"/>
                <w:color w:val="000000"/>
                <w:sz w:val="24"/>
                <w:szCs w:val="24"/>
              </w:rPr>
              <w:t xml:space="preserve">, </w:t>
            </w:r>
            <w:r>
              <w:rPr>
                <w:rFonts w:eastAsia="Palatino Linotype" w:cs="Palatino Linotype" w:ascii="Palatino Linotype" w:hAnsi="Palatino Linotype"/>
                <w:sz w:val="24"/>
                <w:szCs w:val="24"/>
              </w:rPr>
              <w:t xml:space="preserve">Electronic and Postal Communications Authority </w:t>
            </w:r>
            <w:r>
              <w:rPr>
                <w:rFonts w:eastAsia="Palatino Linotype" w:cs="Palatino Linotype" w:ascii="Palatino Linotype" w:hAnsi="Palatino Linotype"/>
                <w:b w:val="false"/>
                <w:bCs w:val="false"/>
                <w:color w:val="000000"/>
                <w:sz w:val="24"/>
                <w:szCs w:val="24"/>
              </w:rPr>
              <w:t>(AKEP)</w:t>
            </w:r>
            <w:r>
              <w:rPr>
                <w:rFonts w:eastAsia="Palatino Linotype" w:cs="Palatino Linotype" w:ascii="Palatino Linotype" w:hAnsi="Palatino Linotype"/>
                <w:sz w:val="24"/>
                <w:szCs w:val="24"/>
              </w:rPr>
              <w:br/>
            </w:r>
            <w:r>
              <w:rPr>
                <w:rFonts w:eastAsia="Palatino Linotype" w:cs="Palatino Linotype" w:ascii="Palatino Linotype" w:hAnsi="Palatino Linotype"/>
                <w:b/>
                <w:bCs/>
                <w:color w:val="2F5496"/>
                <w:sz w:val="24"/>
                <w:szCs w:val="24"/>
              </w:rPr>
              <w:t>Gledis Gjipali</w:t>
            </w:r>
            <w:r>
              <w:rPr>
                <w:rFonts w:eastAsia="Palatino Linotype" w:cs="Palatino Linotype" w:ascii="Palatino Linotype" w:hAnsi="Palatino Linotype"/>
                <w:sz w:val="24"/>
                <w:szCs w:val="24"/>
              </w:rPr>
              <w:t>, Executive Director, European Movement Albania (EMA)</w:t>
            </w:r>
          </w:p>
        </w:tc>
      </w:tr>
      <w:tr>
        <w:trPr/>
        <w:tc>
          <w:tcPr>
            <w:tcW w:w="158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r>
          </w:p>
        </w:tc>
        <w:tc>
          <w:tcPr>
            <w:tcW w:w="9948"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sz w:val="24"/>
                <w:szCs w:val="24"/>
              </w:rPr>
            </w:r>
          </w:p>
        </w:tc>
      </w:tr>
      <w:tr>
        <w:trPr/>
        <w:tc>
          <w:tcPr>
            <w:tcW w:w="158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b/>
                <w:bCs/>
                <w:sz w:val="24"/>
                <w:szCs w:val="24"/>
              </w:rPr>
              <w:t>09</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2</w:t>
            </w:r>
            <w:r>
              <w:rPr>
                <w:rFonts w:eastAsia="Palatino Linotype" w:cs="Palatino Linotype" w:ascii="Palatino Linotype" w:hAnsi="Palatino Linotype"/>
                <w:b/>
                <w:bCs/>
                <w:sz w:val="24"/>
                <w:szCs w:val="24"/>
              </w:rPr>
              <w:t xml:space="preserve">0 – </w:t>
            </w:r>
            <w:r>
              <w:rPr>
                <w:rFonts w:eastAsia="Palatino Linotype" w:cs="Palatino Linotype" w:ascii="Palatino Linotype" w:hAnsi="Palatino Linotype"/>
                <w:b/>
                <w:bCs/>
                <w:sz w:val="24"/>
                <w:szCs w:val="24"/>
              </w:rPr>
              <w:t>09</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4</w:t>
            </w:r>
            <w:r>
              <w:rPr>
                <w:rFonts w:eastAsia="Palatino Linotype" w:cs="Palatino Linotype" w:ascii="Palatino Linotype" w:hAnsi="Palatino Linotype"/>
                <w:b/>
                <w:bCs/>
                <w:sz w:val="24"/>
                <w:szCs w:val="24"/>
              </w:rPr>
              <w:t>0</w:t>
            </w:r>
          </w:p>
        </w:tc>
        <w:tc>
          <w:tcPr>
            <w:tcW w:w="9948"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pPr>
            <w:r>
              <w:rPr>
                <w:rFonts w:eastAsia="Palatino Linotype" w:cs="Palatino Linotype" w:ascii="Palatino Linotype" w:hAnsi="Palatino Linotype"/>
                <w:b/>
                <w:bCs/>
                <w:color w:val="2F5496"/>
                <w:sz w:val="24"/>
                <w:szCs w:val="24"/>
              </w:rPr>
              <w:t>Digital Services – Legislative Transposition Process: Information and Coordination</w:t>
            </w:r>
          </w:p>
          <w:p>
            <w:pPr>
              <w:pStyle w:val="normal1"/>
              <w:widowControl/>
              <w:numPr>
                <w:ilvl w:val="0"/>
                <w:numId w:val="1"/>
              </w:numPr>
              <w:spacing w:lineRule="auto" w:line="240" w:before="0" w:after="0"/>
              <w:ind w:hanging="360" w:start="720"/>
              <w:rPr/>
            </w:pPr>
            <w:r>
              <w:rPr>
                <w:rFonts w:eastAsia="Palatino Linotype" w:cs="Palatino Linotype" w:ascii="Palatino Linotype" w:hAnsi="Palatino Linotype"/>
                <w:i/>
                <w:iCs/>
              </w:rPr>
              <w:t>The interconnection of the DSA with other horizontal developments and issues (GDPR, cybersecurity, media and freedom of expression, access to information, etc.)</w:t>
            </w:r>
          </w:p>
          <w:p>
            <w:pPr>
              <w:pStyle w:val="normal1"/>
              <w:widowControl/>
              <w:numPr>
                <w:ilvl w:val="0"/>
                <w:numId w:val="1"/>
              </w:numPr>
              <w:spacing w:lineRule="auto" w:line="240" w:before="0" w:after="0"/>
              <w:ind w:hanging="360" w:start="720"/>
              <w:rPr/>
            </w:pPr>
            <w:r>
              <w:rPr>
                <w:rFonts w:eastAsia="Palatino Linotype" w:cs="Palatino Linotype" w:ascii="Palatino Linotype" w:hAnsi="Palatino Linotype"/>
                <w:i/>
                <w:iCs/>
              </w:rPr>
              <w:t>The need for capacities, infrastructure, and resources required for implementation – Coordinating structures and interinstitutional cooperation</w:t>
            </w:r>
          </w:p>
        </w:tc>
      </w:tr>
      <w:tr>
        <w:trPr>
          <w:trHeight w:val="125" w:hRule="atLeast"/>
        </w:trPr>
        <w:tc>
          <w:tcPr>
            <w:tcW w:w="158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r>
          </w:p>
        </w:tc>
        <w:tc>
          <w:tcPr>
            <w:tcW w:w="9948"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shd w:val="clear" w:fill="auto"/>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Palatino Linotype" w:cs="Palatino Linotype" w:ascii="Palatino Linotype" w:hAnsi="Palatino Linotype"/>
                <w:b/>
                <w:bCs/>
                <w:color w:val="2F5496"/>
                <w:sz w:val="24"/>
                <w:szCs w:val="24"/>
              </w:rPr>
              <w:t>Representative</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4"/>
                <w:szCs w:val="24"/>
                <w:u w:val="none"/>
                <w:shd w:fill="auto" w:val="clear"/>
                <w:vertAlign w:val="baseline"/>
              </w:rPr>
              <w:t xml:space="preserve">, </w:t>
            </w:r>
            <w:r>
              <w:rPr>
                <w:rFonts w:eastAsia="Palatino Linotype" w:cs="Palatino Linotype" w:ascii="Palatino Linotype" w:hAnsi="Palatino Linotype"/>
                <w:sz w:val="24"/>
                <w:szCs w:val="24"/>
              </w:rPr>
              <w:t xml:space="preserve">Electronic and Postal Communications Authority </w:t>
            </w:r>
            <w:r>
              <w:rPr>
                <w:rFonts w:eastAsia="Palatino Linotype" w:cs="Palatino Linotype" w:ascii="Palatino Linotype" w:hAnsi="Palatino Linotype"/>
                <w:b w:val="false"/>
                <w:bCs w:val="false"/>
                <w:i w:val="false"/>
                <w:iCs w:val="false"/>
                <w:caps w:val="false"/>
                <w:smallCaps w:val="false"/>
                <w:strike w:val="false"/>
                <w:dstrike w:val="false"/>
                <w:color w:val="000000"/>
                <w:position w:val="0"/>
                <w:sz w:val="24"/>
                <w:szCs w:val="24"/>
                <w:u w:val="none"/>
                <w:shd w:fill="auto" w:val="clear"/>
                <w:vertAlign w:val="baseline"/>
              </w:rPr>
              <w:t>(AKEP)</w:t>
            </w:r>
          </w:p>
        </w:tc>
      </w:tr>
      <w:tr>
        <w:trPr>
          <w:trHeight w:val="125" w:hRule="atLeast"/>
        </w:trPr>
        <w:tc>
          <w:tcPr>
            <w:tcW w:w="1584"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r>
          </w:p>
        </w:tc>
        <w:tc>
          <w:tcPr>
            <w:tcW w:w="9948" w:type="dxa"/>
            <w:tcBorders>
              <w:start w:val="single" w:sz="4" w:space="0" w:color="000000"/>
              <w:bottom w:val="single" w:sz="4" w:space="0" w:color="000000"/>
              <w:end w:val="single" w:sz="4" w:space="0" w:color="000000"/>
            </w:tcBorders>
          </w:tcPr>
          <w:p>
            <w:pPr>
              <w:pStyle w:val="normal1"/>
              <w:keepNext w:val="false"/>
              <w:keepLines w:val="false"/>
              <w:widowControl/>
              <w:shd w:val="clear" w:fill="auto"/>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shd w:fill="auto" w:val="clear"/>
                <w:vertAlign w:val="baseline"/>
              </w:rPr>
            </w:r>
          </w:p>
        </w:tc>
      </w:tr>
      <w:tr>
        <w:trPr>
          <w:trHeight w:val="125" w:hRule="atLeast"/>
        </w:trPr>
        <w:tc>
          <w:tcPr>
            <w:tcW w:w="1584"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t>09</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4</w:t>
            </w:r>
            <w:r>
              <w:rPr>
                <w:rFonts w:eastAsia="Palatino Linotype" w:cs="Palatino Linotype" w:ascii="Palatino Linotype" w:hAnsi="Palatino Linotype"/>
                <w:b/>
                <w:bCs/>
                <w:sz w:val="24"/>
                <w:szCs w:val="24"/>
              </w:rPr>
              <w:t>0 – 1</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0</w:t>
            </w:r>
          </w:p>
        </w:tc>
        <w:tc>
          <w:tcPr>
            <w:tcW w:w="9948" w:type="dxa"/>
            <w:tcBorders>
              <w:start w:val="single" w:sz="4" w:space="0" w:color="000000"/>
              <w:bottom w:val="single" w:sz="4" w:space="0" w:color="000000"/>
              <w:end w:val="single" w:sz="4" w:space="0" w:color="000000"/>
            </w:tcBorders>
          </w:tcPr>
          <w:p>
            <w:pPr>
              <w:pStyle w:val="Heading3"/>
              <w:widowControl/>
              <w:spacing w:lineRule="auto" w:line="240" w:before="0" w:after="0"/>
              <w:rPr>
                <w:rFonts w:ascii="Palatino Linotype" w:hAnsi="Palatino Linotype" w:eastAsia="Palatino Linotype" w:cs="Palatino Linotype"/>
              </w:rPr>
            </w:pPr>
            <w:r>
              <w:rPr>
                <w:rFonts w:eastAsia="Palatino Linotype" w:cs="Palatino Linotype" w:ascii="Palatino Linotype" w:hAnsi="Palatino Linotype"/>
                <w:color w:val="2A6099"/>
                <w:sz w:val="24"/>
                <w:szCs w:val="24"/>
              </w:rPr>
              <w:t xml:space="preserve">Beyond Legal Harmonisation – How Is Digital Services Regulation Translated into Practice? </w:t>
            </w:r>
          </w:p>
          <w:p>
            <w:pPr>
              <w:pStyle w:val="normal1"/>
              <w:widowControl/>
              <w:numPr>
                <w:ilvl w:val="0"/>
                <w:numId w:val="1"/>
              </w:numPr>
              <w:spacing w:lineRule="auto" w:line="240" w:before="0" w:after="0"/>
              <w:ind w:hanging="360" w:start="720"/>
              <w:rPr/>
            </w:pPr>
            <w:r>
              <w:rPr>
                <w:rFonts w:eastAsia="Palatino Linotype" w:cs="Palatino Linotype" w:ascii="Palatino Linotype" w:hAnsi="Palatino Linotype"/>
                <w:i/>
                <w:iCs/>
              </w:rPr>
              <w:t>What is the DSA – responsibilities, obligations, and innovations introduced for public institutions and non-state actors</w:t>
            </w:r>
          </w:p>
          <w:p>
            <w:pPr>
              <w:pStyle w:val="normal1"/>
              <w:keepNext w:val="false"/>
              <w:keepLines w:val="false"/>
              <w:widowControl/>
              <w:numPr>
                <w:ilvl w:val="0"/>
                <w:numId w:val="2"/>
              </w:numPr>
              <w:shd w:val="clear" w:fill="auto"/>
              <w:tabs>
                <w:tab w:val="clear" w:pos="720"/>
                <w:tab w:val="left" w:pos="709" w:leader="none"/>
              </w:tabs>
              <w:spacing w:lineRule="auto" w:line="240" w:before="57" w:after="57"/>
              <w:ind w:hanging="283" w:start="709" w:end="0"/>
              <w:jc w:val="both"/>
              <w:rPr/>
            </w:pPr>
            <w:r>
              <w:rPr>
                <w:rFonts w:eastAsia="Palatino Linotype" w:cs="Palatino Linotype" w:ascii="Palatino Linotype" w:hAnsi="Palatino Linotype"/>
                <w:i/>
                <w:iCs/>
              </w:rPr>
              <w:t>The role of the National Digital Services Coordinator – recommendations based on EU Member States’ experiences</w:t>
            </w:r>
          </w:p>
          <w:p>
            <w:pPr>
              <w:pStyle w:val="normal1"/>
              <w:keepNext w:val="false"/>
              <w:keepLines w:val="false"/>
              <w:widowControl/>
              <w:numPr>
                <w:ilvl w:val="0"/>
                <w:numId w:val="2"/>
              </w:numPr>
              <w:shd w:val="clear" w:fill="auto"/>
              <w:tabs>
                <w:tab w:val="clear" w:pos="720"/>
                <w:tab w:val="left" w:pos="709" w:leader="none"/>
              </w:tabs>
              <w:spacing w:lineRule="auto" w:line="240" w:before="57" w:after="57"/>
              <w:ind w:hanging="283" w:start="709" w:end="0"/>
              <w:jc w:val="both"/>
              <w:rPr/>
            </w:pPr>
            <w:r>
              <w:rPr>
                <w:rFonts w:eastAsia="Palatino Linotype" w:cs="Palatino Linotype" w:ascii="Palatino Linotype" w:hAnsi="Palatino Linotype"/>
                <w:i/>
                <w:iCs/>
              </w:rPr>
              <w:t>How these rules will affect different actors and sectors</w:t>
            </w:r>
          </w:p>
          <w:p>
            <w:pPr>
              <w:pStyle w:val="normal1"/>
              <w:keepNext w:val="false"/>
              <w:keepLines w:val="false"/>
              <w:widowControl/>
              <w:numPr>
                <w:ilvl w:val="0"/>
                <w:numId w:val="2"/>
              </w:numPr>
              <w:shd w:val="clear" w:fill="auto"/>
              <w:tabs>
                <w:tab w:val="clear" w:pos="720"/>
                <w:tab w:val="left" w:pos="709" w:leader="none"/>
              </w:tabs>
              <w:spacing w:lineRule="auto" w:line="240" w:before="57" w:after="57"/>
              <w:ind w:hanging="283" w:start="709" w:end="0"/>
              <w:jc w:val="both"/>
              <w:rPr/>
            </w:pPr>
            <w:r>
              <w:rPr>
                <w:rFonts w:eastAsia="Palatino Linotype" w:cs="Palatino Linotype" w:ascii="Palatino Linotype" w:hAnsi="Palatino Linotype"/>
                <w:i/>
                <w:iCs/>
              </w:rPr>
              <w:t>The role of CSOs and civil society in monitoring and protecting digital rights</w:t>
            </w:r>
          </w:p>
        </w:tc>
      </w:tr>
      <w:tr>
        <w:trPr/>
        <w:tc>
          <w:tcPr>
            <w:tcW w:w="1584"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r>
          </w:p>
        </w:tc>
        <w:tc>
          <w:tcPr>
            <w:tcW w:w="9948" w:type="dxa"/>
            <w:tcBorders>
              <w:start w:val="single" w:sz="4" w:space="0" w:color="000000"/>
              <w:bottom w:val="single" w:sz="4" w:space="0" w:color="000000"/>
              <w:end w:val="single" w:sz="4" w:space="0" w:color="000000"/>
            </w:tcBorders>
          </w:tcPr>
          <w:p>
            <w:pPr>
              <w:pStyle w:val="normal1"/>
              <w:widowControl/>
              <w:spacing w:lineRule="auto" w:line="240" w:before="0" w:after="0"/>
              <w:rPr>
                <w:highlight w:val="none"/>
                <w:shd w:fill="auto" w:val="clear"/>
              </w:rPr>
            </w:pPr>
            <w:r>
              <w:rPr>
                <w:rFonts w:eastAsia="Palatino Linotype" w:cs="Palatino Linotype" w:ascii="Palatino Linotype" w:hAnsi="Palatino Linotype"/>
                <w:b/>
                <w:bCs/>
                <w:i w:val="false"/>
                <w:iCs w:val="false"/>
                <w:color w:val="2A6099"/>
                <w:sz w:val="24"/>
                <w:szCs w:val="24"/>
                <w:shd w:fill="auto" w:val="clear"/>
              </w:rPr>
              <w:t>Michaela Vanišová</w:t>
            </w:r>
            <w:r>
              <w:rPr>
                <w:rFonts w:eastAsia="Palatino Linotype" w:cs="Palatino Linotype" w:ascii="Palatino Linotype" w:hAnsi="Palatino Linotype"/>
                <w:b/>
                <w:bCs/>
                <w:i w:val="false"/>
                <w:iCs w:val="false"/>
                <w:sz w:val="24"/>
                <w:szCs w:val="24"/>
                <w:shd w:fill="auto" w:val="clear"/>
              </w:rPr>
              <w:t xml:space="preserve">, </w:t>
            </w:r>
            <w:r>
              <w:rPr>
                <w:rFonts w:eastAsia="Palatino Linotype" w:cs="Palatino Linotype" w:ascii="Palatino Linotype" w:hAnsi="Palatino Linotype"/>
                <w:b/>
                <w:bCs/>
                <w:i w:val="false"/>
                <w:iCs w:val="false"/>
                <w:sz w:val="24"/>
                <w:szCs w:val="24"/>
                <w:shd w:fill="auto" w:val="clear"/>
              </w:rPr>
              <w:t xml:space="preserve">Digital Citizenship Expert, </w:t>
            </w:r>
            <w:r>
              <w:rPr>
                <w:rFonts w:eastAsia="Palatino Linotype" w:cs="Palatino Linotype" w:ascii="Palatino Linotype" w:hAnsi="Palatino Linotype"/>
                <w:b/>
                <w:bCs/>
                <w:i w:val="false"/>
                <w:iCs w:val="false"/>
                <w:sz w:val="24"/>
                <w:szCs w:val="24"/>
                <w:shd w:fill="auto" w:val="clear"/>
              </w:rPr>
              <w:t xml:space="preserve">DigiQ </w:t>
            </w:r>
            <w:r>
              <w:rPr>
                <w:rFonts w:eastAsia="Palatino Linotype" w:cs="Palatino Linotype" w:ascii="Palatino Linotype" w:hAnsi="Palatino Linotype"/>
                <w:b/>
                <w:bCs/>
                <w:i w:val="false"/>
                <w:iCs w:val="false"/>
                <w:sz w:val="24"/>
                <w:szCs w:val="24"/>
                <w:shd w:fill="auto" w:val="clear"/>
              </w:rPr>
              <w:t>Slovakia</w:t>
            </w:r>
          </w:p>
        </w:tc>
      </w:tr>
      <w:tr>
        <w:trPr/>
        <w:tc>
          <w:tcPr>
            <w:tcW w:w="1584"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r>
          </w:p>
        </w:tc>
        <w:tc>
          <w:tcPr>
            <w:tcW w:w="9948"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i/>
                <w:iCs/>
                <w:sz w:val="24"/>
                <w:szCs w:val="24"/>
              </w:rPr>
            </w:pPr>
            <w:r>
              <w:rPr>
                <w:rFonts w:eastAsia="Palatino Linotype" w:cs="Palatino Linotype" w:ascii="Palatino Linotype" w:hAnsi="Palatino Linotype"/>
                <w:i/>
                <w:iCs/>
                <w:sz w:val="24"/>
                <w:szCs w:val="24"/>
              </w:rPr>
            </w:r>
          </w:p>
        </w:tc>
      </w:tr>
      <w:tr>
        <w:trPr>
          <w:trHeight w:val="323" w:hRule="atLeast"/>
        </w:trPr>
        <w:tc>
          <w:tcPr>
            <w:tcW w:w="1584"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b/>
                <w:bCs/>
                <w:sz w:val="24"/>
                <w:szCs w:val="24"/>
              </w:rPr>
              <w:t>1</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0 – 1</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3</w:t>
            </w:r>
            <w:r>
              <w:rPr>
                <w:rFonts w:eastAsia="Palatino Linotype" w:cs="Palatino Linotype" w:ascii="Palatino Linotype" w:hAnsi="Palatino Linotype"/>
                <w:b/>
                <w:bCs/>
                <w:sz w:val="24"/>
                <w:szCs w:val="24"/>
              </w:rPr>
              <w:t>0</w:t>
            </w:r>
          </w:p>
        </w:tc>
        <w:tc>
          <w:tcPr>
            <w:tcW w:w="9948"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b/>
                <w:bCs/>
                <w:color w:val="2F5496"/>
                <w:sz w:val="24"/>
                <w:szCs w:val="24"/>
              </w:rPr>
              <w:t>Interactive Discussion</w:t>
              <w:br/>
            </w:r>
            <w:r>
              <w:rPr>
                <w:rFonts w:eastAsia="Palatino Linotype" w:cs="Palatino Linotype" w:ascii="Palatino Linotype" w:hAnsi="Palatino Linotype"/>
                <w:sz w:val="24"/>
                <w:szCs w:val="24"/>
              </w:rPr>
              <w:t>With representatives of civil society, legal professionals, media, interest groups, and the business community</w:t>
            </w:r>
          </w:p>
        </w:tc>
      </w:tr>
      <w:tr>
        <w:trPr>
          <w:trHeight w:val="323" w:hRule="atLeast"/>
        </w:trPr>
        <w:tc>
          <w:tcPr>
            <w:tcW w:w="1584"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b/>
                <w:bCs/>
                <w:sz w:val="24"/>
                <w:szCs w:val="24"/>
              </w:rPr>
            </w:pPr>
            <w:r>
              <w:rPr>
                <w:rFonts w:eastAsia="Palatino Linotype" w:cs="Palatino Linotype" w:ascii="Palatino Linotype" w:hAnsi="Palatino Linotype"/>
                <w:b/>
                <w:bCs/>
                <w:sz w:val="24"/>
                <w:szCs w:val="24"/>
              </w:rPr>
            </w:r>
          </w:p>
        </w:tc>
        <w:tc>
          <w:tcPr>
            <w:tcW w:w="9948"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sz w:val="24"/>
                <w:szCs w:val="24"/>
              </w:rPr>
            </w:r>
          </w:p>
        </w:tc>
      </w:tr>
      <w:tr>
        <w:trPr>
          <w:trHeight w:val="323" w:hRule="atLeast"/>
        </w:trPr>
        <w:tc>
          <w:tcPr>
            <w:tcW w:w="1584" w:type="dxa"/>
            <w:tcBorders>
              <w:start w:val="single" w:sz="4" w:space="0" w:color="000000"/>
              <w:bottom w:val="single" w:sz="4" w:space="0" w:color="000000"/>
              <w:end w:val="single" w:sz="4" w:space="0" w:color="000000"/>
            </w:tcBorders>
          </w:tcPr>
          <w:p>
            <w:pPr>
              <w:pStyle w:val="normal1"/>
              <w:widowControl/>
              <w:spacing w:lineRule="auto" w:line="240" w:before="0" w:after="0"/>
              <w:jc w:val="center"/>
              <w:rPr>
                <w:rFonts w:ascii="Palatino Linotype" w:hAnsi="Palatino Linotype" w:eastAsia="Palatino Linotype" w:cs="Palatino Linotype"/>
                <w:sz w:val="24"/>
                <w:szCs w:val="24"/>
              </w:rPr>
            </w:pPr>
            <w:r>
              <w:rPr>
                <w:rFonts w:eastAsia="Palatino Linotype" w:cs="Palatino Linotype" w:ascii="Palatino Linotype" w:hAnsi="Palatino Linotype"/>
                <w:b/>
                <w:bCs/>
                <w:sz w:val="24"/>
                <w:szCs w:val="24"/>
              </w:rPr>
              <w:t>1</w:t>
            </w:r>
            <w:r>
              <w:rPr>
                <w:rFonts w:eastAsia="Palatino Linotype" w:cs="Palatino Linotype" w:ascii="Palatino Linotype" w:hAnsi="Palatino Linotype"/>
                <w:b/>
                <w:bCs/>
                <w:sz w:val="24"/>
                <w:szCs w:val="24"/>
              </w:rPr>
              <w:t>0</w:t>
            </w:r>
            <w:r>
              <w:rPr>
                <w:rFonts w:eastAsia="Palatino Linotype" w:cs="Palatino Linotype" w:ascii="Palatino Linotype" w:hAnsi="Palatino Linotype"/>
                <w:b/>
                <w:bCs/>
                <w:sz w:val="24"/>
                <w:szCs w:val="24"/>
              </w:rPr>
              <w:t>:</w:t>
            </w:r>
            <w:r>
              <w:rPr>
                <w:rFonts w:eastAsia="Palatino Linotype" w:cs="Palatino Linotype" w:ascii="Palatino Linotype" w:hAnsi="Palatino Linotype"/>
                <w:b/>
                <w:bCs/>
                <w:sz w:val="24"/>
                <w:szCs w:val="24"/>
              </w:rPr>
              <w:t>3</w:t>
            </w:r>
            <w:r>
              <w:rPr>
                <w:rFonts w:eastAsia="Palatino Linotype" w:cs="Palatino Linotype" w:ascii="Palatino Linotype" w:hAnsi="Palatino Linotype"/>
                <w:b/>
                <w:bCs/>
                <w:sz w:val="24"/>
                <w:szCs w:val="24"/>
              </w:rPr>
              <w:t>0</w:t>
            </w:r>
          </w:p>
        </w:tc>
        <w:tc>
          <w:tcPr>
            <w:tcW w:w="9948" w:type="dxa"/>
            <w:tcBorders>
              <w:start w:val="single" w:sz="4" w:space="0" w:color="000000"/>
              <w:bottom w:val="single" w:sz="4" w:space="0" w:color="000000"/>
              <w:end w:val="single" w:sz="4" w:space="0" w:color="000000"/>
            </w:tcBorders>
          </w:tcPr>
          <w:p>
            <w:pPr>
              <w:pStyle w:val="normal1"/>
              <w:widowControl/>
              <w:spacing w:lineRule="auto" w:line="240" w:before="0" w:after="0"/>
              <w:rPr>
                <w:rFonts w:ascii="Palatino Linotype" w:hAnsi="Palatino Linotype" w:eastAsia="Palatino Linotype" w:cs="Palatino Linotype"/>
                <w:sz w:val="24"/>
                <w:szCs w:val="24"/>
              </w:rPr>
            </w:pPr>
            <w:r>
              <w:rPr>
                <w:rFonts w:eastAsia="Palatino Linotype" w:cs="Palatino Linotype" w:ascii="Palatino Linotype" w:hAnsi="Palatino Linotype"/>
                <w:b/>
                <w:bCs/>
                <w:color w:val="2F5496"/>
                <w:sz w:val="24"/>
                <w:szCs w:val="24"/>
              </w:rPr>
              <w:t>Closing of the Event and Coffee</w:t>
            </w:r>
          </w:p>
        </w:tc>
      </w:tr>
    </w:tbl>
    <w:p>
      <w:pPr>
        <w:pStyle w:val="normal1"/>
        <w:spacing w:lineRule="auto" w:line="240" w:before="0" w:after="160"/>
        <w:rPr>
          <w:rFonts w:ascii="Palatino Linotype" w:hAnsi="Palatino Linotype" w:eastAsia="Palatino Linotype" w:cs="Palatino Linotype"/>
          <w:sz w:val="24"/>
          <w:szCs w:val="24"/>
          <w:highlight w:val="yellow"/>
        </w:rPr>
      </w:pPr>
      <w:r>
        <w:rPr>
          <w:rFonts w:eastAsia="Palatino Linotype" w:cs="Palatino Linotype" w:ascii="Palatino Linotype" w:hAnsi="Palatino Linotype"/>
          <w:sz w:val="24"/>
          <w:szCs w:val="24"/>
          <w:highlight w:val="yellow"/>
        </w:rPr>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672" w:right="588" w:gutter="0" w:header="720" w:top="1710" w:footer="324"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characterSet="windows-1252"/>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characterSet="windows-1252"/>
    <w:family w:val="roman"/>
    <w:pitch w:val="variable"/>
  </w:font>
  <w:font w:name="Liberation Sans">
    <w:altName w:val="Arial"/>
    <w:charset w:val="00" w:characterSet="windows-1252"/>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characterSet="windows-1252"/>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Palatino Linotype">
    <w:charset w:val="00" w:characterSet="windows-1252"/>
    <w:family w:val="roman"/>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Canela Light">
    <w:charset w:val="00" w:characterSet="windows-1252"/>
    <w:family w:val="roman"/>
    <w:pitch w:val="variable"/>
  </w:font>
  <w:font w:name="Noto Sans Symbols">
    <w:charset w:val="01"/>
    <w:family w:val="swiss"/>
    <w:pitch w:val="default"/>
    <w:embedRegular r:id="rId26" w:fontKey="{1A014A78-CABC-4EF0-12AC-5CD89AEFDE1A}"/>
    <w:embedBold r:id="rId27" w:fontKey="{1B014A78-CABC-4EF0-12AC-5CD89AEFDE1B}"/>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4513" w:leader="none"/>
        <w:tab w:val="right" w:pos="9026" w:leader="none"/>
      </w:tabs>
      <w:spacing w:lineRule="auto" w:line="240" w:before="0" w:after="0"/>
      <w:ind w:hanging="0" w:start="0" w:end="0"/>
      <w:jc w:val="start"/>
      <w:rPr>
        <w:rFonts w:ascii="Canela Light" w:hAnsi="Canela Light" w:eastAsia="Canela Light" w:cs="Canela Light"/>
        <w:i/>
        <w:iCs/>
        <w:color w:val="0563C1"/>
        <w:sz w:val="18"/>
        <w:szCs w:val="18"/>
      </w:rPr>
    </w:pPr>
    <w:r>
      <w:rPr>
        <w:rFonts w:eastAsia="Canela Light" w:cs="Canela Light" w:ascii="Canela Light" w:hAnsi="Canela Light"/>
        <w:b w:val="false"/>
        <w:bCs w:val="false"/>
        <w:i/>
        <w:iCs/>
        <w:caps w:val="false"/>
        <w:smallCaps w:val="false"/>
        <w:strike w:val="false"/>
        <w:dstrike w:val="false"/>
        <w:color w:val="0563C1"/>
        <w:position w:val="0"/>
        <w:sz w:val="18"/>
        <w:szCs w:val="18"/>
        <w:u w:val="none"/>
        <w:shd w:fill="auto" w:val="clear"/>
        <w:vertAlign w:val="baseline"/>
      </w:rPr>
      <w:t>*</w:t>
    </w:r>
    <w:r>
      <w:rPr>
        <w:rFonts w:eastAsia="Canela Light" w:cs="Canela Light" w:ascii="Canela Light" w:hAnsi="Canela Light"/>
        <w:i/>
        <w:iCs/>
        <w:color w:val="0563C1"/>
        <w:sz w:val="18"/>
        <w:szCs w:val="18"/>
      </w:rPr>
      <w:t xml:space="preserve">This WG session for Chapter 23 takes place within the framework of the project "Building Partnership on Fundamentals: Empowering CSOs for the EU accession process", with the financial support of the European Union - IPA Civil Society Facility 2021, which is implemented by the European Movement in Albania and in cooperation with the Academy of European Integration and Negotiations (AIEN), Slovak Foreign Policy Association (SFPA) and the Center for Transparency and Freedom of Information (CTFI).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4513" w:leader="none"/>
        <w:tab w:val="right" w:pos="9026" w:leader="none"/>
      </w:tabs>
      <w:spacing w:lineRule="auto" w:line="240" w:before="0" w:after="0"/>
      <w:ind w:hanging="0" w:start="0" w:end="0"/>
      <w:jc w:val="start"/>
      <w:rPr>
        <w:rFonts w:ascii="Canela Light" w:hAnsi="Canela Light" w:eastAsia="Canela Light" w:cs="Canela Light"/>
        <w:i/>
        <w:iCs/>
        <w:color w:val="0563C1"/>
        <w:sz w:val="18"/>
        <w:szCs w:val="18"/>
      </w:rPr>
    </w:pPr>
    <w:r>
      <w:rPr>
        <w:rFonts w:eastAsia="Canela Light" w:cs="Canela Light" w:ascii="Canela Light" w:hAnsi="Canela Light"/>
        <w:b w:val="false"/>
        <w:bCs w:val="false"/>
        <w:i/>
        <w:iCs/>
        <w:caps w:val="false"/>
        <w:smallCaps w:val="false"/>
        <w:strike w:val="false"/>
        <w:dstrike w:val="false"/>
        <w:color w:val="0563C1"/>
        <w:position w:val="0"/>
        <w:sz w:val="18"/>
        <w:szCs w:val="18"/>
        <w:u w:val="none"/>
        <w:shd w:fill="auto" w:val="clear"/>
        <w:vertAlign w:val="baseline"/>
      </w:rPr>
      <w:t>*</w:t>
    </w:r>
    <w:r>
      <w:rPr>
        <w:rFonts w:eastAsia="Canela Light" w:cs="Canela Light" w:ascii="Canela Light" w:hAnsi="Canela Light"/>
        <w:i/>
        <w:iCs/>
        <w:color w:val="0563C1"/>
        <w:sz w:val="18"/>
        <w:szCs w:val="18"/>
      </w:rPr>
      <w:t xml:space="preserve">This WG session for Chapter 23 takes place within the framework of the project "Building Partnership on Fundamentals: Empowering CSOs for the EU accession process", with the financial support of the European Union - IPA Civil Society Facility 2021, which is implemented by the European Movement in Albania and in cooperation with the Academy of European Integration and Negotiations (AIEN), Slovak Foreign Policy Association (SFPA) and the Center for Transparency and Freedom of Information (CTFI).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4513" w:leader="none"/>
        <w:tab w:val="right" w:pos="9026" w:leader="none"/>
      </w:tabs>
      <w:spacing w:lineRule="auto" w:line="240" w:before="0" w:after="0"/>
      <w:ind w:hanging="0" w:start="0" w:end="0"/>
      <w:jc w:val="start"/>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drawing>
        <wp:anchor distT="0" distB="0" distL="114300" distR="114300" simplePos="0" relativeHeight="4" behindDoc="1" locked="0" layoutInCell="0" allowOverlap="1">
          <wp:simplePos x="0" y="0"/>
          <wp:positionH relativeFrom="column">
            <wp:posOffset>5344795</wp:posOffset>
          </wp:positionH>
          <wp:positionV relativeFrom="paragraph">
            <wp:posOffset>-158115</wp:posOffset>
          </wp:positionV>
          <wp:extent cx="1392555" cy="59626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1"/>
                  <a:stretch>
                    <a:fillRect/>
                  </a:stretch>
                </pic:blipFill>
                <pic:spPr bwMode="auto">
                  <a:xfrm>
                    <a:off x="0" y="0"/>
                    <a:ext cx="1392555" cy="596265"/>
                  </a:xfrm>
                  <a:prstGeom prst="rect">
                    <a:avLst/>
                  </a:prstGeom>
                  <a:noFill/>
                </pic:spPr>
              </pic:pic>
            </a:graphicData>
          </a:graphic>
        </wp:anchor>
      </w:drawing>
      <w:drawing>
        <wp:anchor distT="0" distB="0" distL="0" distR="0" simplePos="0" relativeHeight="7" behindDoc="1" locked="0" layoutInCell="0" allowOverlap="1">
          <wp:simplePos x="0" y="0"/>
          <wp:positionH relativeFrom="column">
            <wp:posOffset>2461260</wp:posOffset>
          </wp:positionH>
          <wp:positionV relativeFrom="paragraph">
            <wp:posOffset>-259080</wp:posOffset>
          </wp:positionV>
          <wp:extent cx="1791335" cy="768985"/>
          <wp:effectExtent l="0" t="0" r="0" b="0"/>
          <wp:wrapSquare wrapText="bothSides"/>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noChangeArrowheads="1"/>
                  </pic:cNvPicPr>
                </pic:nvPicPr>
                <pic:blipFill>
                  <a:blip r:embed="rId2"/>
                  <a:stretch>
                    <a:fillRect/>
                  </a:stretch>
                </pic:blipFill>
                <pic:spPr bwMode="auto">
                  <a:xfrm>
                    <a:off x="0" y="0"/>
                    <a:ext cx="1791335" cy="768985"/>
                  </a:xfrm>
                  <a:prstGeom prst="rect">
                    <a:avLst/>
                  </a:prstGeom>
                  <a:noFill/>
                </pic:spPr>
              </pic:pic>
            </a:graphicData>
          </a:graphic>
        </wp:anchor>
      </w:drawing>
      <w:drawing>
        <wp:anchor distT="0" distB="0" distL="114300" distR="114300" simplePos="0" relativeHeight="10" behindDoc="1" locked="0" layoutInCell="0" allowOverlap="1">
          <wp:simplePos x="0" y="0"/>
          <wp:positionH relativeFrom="column">
            <wp:posOffset>1905</wp:posOffset>
          </wp:positionH>
          <wp:positionV relativeFrom="paragraph">
            <wp:posOffset>-318135</wp:posOffset>
          </wp:positionV>
          <wp:extent cx="1400175" cy="1025525"/>
          <wp:effectExtent l="0" t="0" r="0" b="0"/>
          <wp:wrapSquare wrapText="bothSides"/>
          <wp:docPr id="4" name="image1.jpg Copy 1"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Copy 1" descr="A blue flag with yellow stars&#10;&#10;AI-generated content may be incorrect."/>
                  <pic:cNvPicPr>
                    <a:picLocks noChangeAspect="1" noChangeArrowheads="1"/>
                  </pic:cNvPicPr>
                </pic:nvPicPr>
                <pic:blipFill>
                  <a:blip r:embed="rId3"/>
                  <a:stretch>
                    <a:fillRect/>
                  </a:stretch>
                </pic:blipFill>
                <pic:spPr bwMode="auto">
                  <a:xfrm>
                    <a:off x="0" y="0"/>
                    <a:ext cx="1400175" cy="1025525"/>
                  </a:xfrm>
                  <a:prstGeom prst="rect">
                    <a:avLst/>
                  </a:prstGeom>
                  <a:noFill/>
                </pic:spPr>
              </pic:pic>
            </a:graphicData>
          </a:graphic>
        </wp:anchor>
      </w:drawing>
    </w:r>
    <w:r>
      <w:rPr>
        <w:rFonts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4513" w:leader="none"/>
        <w:tab w:val="right" w:pos="9026" w:leader="none"/>
      </w:tabs>
      <w:spacing w:lineRule="auto" w:line="240" w:before="0" w:after="0"/>
      <w:ind w:hanging="0" w:start="0" w:end="0"/>
      <w:jc w:val="start"/>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drawing>
        <wp:anchor distT="0" distB="0" distL="114300" distR="114300" simplePos="0" relativeHeight="4" behindDoc="1" locked="0" layoutInCell="0" allowOverlap="1">
          <wp:simplePos x="0" y="0"/>
          <wp:positionH relativeFrom="column">
            <wp:posOffset>5344795</wp:posOffset>
          </wp:positionH>
          <wp:positionV relativeFrom="paragraph">
            <wp:posOffset>-158115</wp:posOffset>
          </wp:positionV>
          <wp:extent cx="1392555" cy="596265"/>
          <wp:effectExtent l="0" t="0" r="0" b="0"/>
          <wp:wrapSquare wrapText="bothSides"/>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noChangeArrowheads="1"/>
                  </pic:cNvPicPr>
                </pic:nvPicPr>
                <pic:blipFill>
                  <a:blip r:embed="rId1"/>
                  <a:stretch>
                    <a:fillRect/>
                  </a:stretch>
                </pic:blipFill>
                <pic:spPr bwMode="auto">
                  <a:xfrm>
                    <a:off x="0" y="0"/>
                    <a:ext cx="1392555" cy="596265"/>
                  </a:xfrm>
                  <a:prstGeom prst="rect">
                    <a:avLst/>
                  </a:prstGeom>
                  <a:noFill/>
                </pic:spPr>
              </pic:pic>
            </a:graphicData>
          </a:graphic>
        </wp:anchor>
      </w:drawing>
      <w:drawing>
        <wp:anchor distT="0" distB="0" distL="0" distR="0" simplePos="0" relativeHeight="7" behindDoc="1" locked="0" layoutInCell="0" allowOverlap="1">
          <wp:simplePos x="0" y="0"/>
          <wp:positionH relativeFrom="column">
            <wp:posOffset>2461260</wp:posOffset>
          </wp:positionH>
          <wp:positionV relativeFrom="paragraph">
            <wp:posOffset>-259080</wp:posOffset>
          </wp:positionV>
          <wp:extent cx="1791335" cy="768985"/>
          <wp:effectExtent l="0" t="0" r="0" b="0"/>
          <wp:wrapSquare wrapText="bothSides"/>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a:picLocks noChangeAspect="1" noChangeArrowheads="1"/>
                  </pic:cNvPicPr>
                </pic:nvPicPr>
                <pic:blipFill>
                  <a:blip r:embed="rId2"/>
                  <a:stretch>
                    <a:fillRect/>
                  </a:stretch>
                </pic:blipFill>
                <pic:spPr bwMode="auto">
                  <a:xfrm>
                    <a:off x="0" y="0"/>
                    <a:ext cx="1791335" cy="768985"/>
                  </a:xfrm>
                  <a:prstGeom prst="rect">
                    <a:avLst/>
                  </a:prstGeom>
                  <a:noFill/>
                </pic:spPr>
              </pic:pic>
            </a:graphicData>
          </a:graphic>
        </wp:anchor>
      </w:drawing>
      <w:drawing>
        <wp:anchor distT="0" distB="0" distL="114300" distR="114300" simplePos="0" relativeHeight="10" behindDoc="1" locked="0" layoutInCell="0" allowOverlap="1">
          <wp:simplePos x="0" y="0"/>
          <wp:positionH relativeFrom="column">
            <wp:posOffset>1905</wp:posOffset>
          </wp:positionH>
          <wp:positionV relativeFrom="paragraph">
            <wp:posOffset>-318135</wp:posOffset>
          </wp:positionV>
          <wp:extent cx="1400175" cy="1025525"/>
          <wp:effectExtent l="0" t="0" r="0" b="0"/>
          <wp:wrapSquare wrapText="bothSides"/>
          <wp:docPr id="7" name="image1.jpg Copy 1"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jpg Copy 1" descr="A blue flag with yellow stars&#10;&#10;AI-generated content may be incorrect."/>
                  <pic:cNvPicPr>
                    <a:picLocks noChangeAspect="1" noChangeArrowheads="1"/>
                  </pic:cNvPicPr>
                </pic:nvPicPr>
                <pic:blipFill>
                  <a:blip r:embed="rId3"/>
                  <a:stretch>
                    <a:fillRect/>
                  </a:stretch>
                </pic:blipFill>
                <pic:spPr bwMode="auto">
                  <a:xfrm>
                    <a:off x="0" y="0"/>
                    <a:ext cx="1400175" cy="1025525"/>
                  </a:xfrm>
                  <a:prstGeom prst="rect">
                    <a:avLst/>
                  </a:prstGeom>
                  <a:noFill/>
                </pic:spPr>
              </pic:pic>
            </a:graphicData>
          </a:graphic>
        </wp:anchor>
      </w:drawing>
    </w:r>
    <w:r>
      <w:rPr>
        <w:rFonts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Noto Sans Symbols" w:hAnsi="Noto Sans Symbols" w:cs="Noto Sans Symbols" w:hint="default"/>
        <w:color w:val="000000"/>
        <w:sz w:val="22"/>
        <w:szCs w:val="22"/>
      </w:rPr>
    </w:lvl>
    <w:lvl w:ilvl="1">
      <w:start w:val="1"/>
      <w:numFmt w:val="bullet"/>
      <w:lvlText w:val="◦"/>
      <w:lvlJc w:val="start"/>
      <w:pPr>
        <w:tabs>
          <w:tab w:val="num" w:pos="0"/>
        </w:tabs>
        <w:ind w:start="1080" w:hanging="360"/>
      </w:pPr>
      <w:rPr>
        <w:rFonts w:ascii="Noto Sans Symbols" w:hAnsi="Noto Sans Symbols" w:cs="Noto Sans Symbols" w:hint="default"/>
        <w:color w:val="000000"/>
        <w:sz w:val="22"/>
        <w:szCs w:val="22"/>
      </w:rPr>
    </w:lvl>
    <w:lvl w:ilvl="2">
      <w:start w:val="1"/>
      <w:numFmt w:val="bullet"/>
      <w:lvlText w:val="▪"/>
      <w:lvlJc w:val="start"/>
      <w:pPr>
        <w:tabs>
          <w:tab w:val="num" w:pos="0"/>
        </w:tabs>
        <w:ind w:start="1440" w:hanging="360"/>
      </w:pPr>
      <w:rPr>
        <w:rFonts w:ascii="Noto Sans Symbols" w:hAnsi="Noto Sans Symbols" w:cs="Noto Sans Symbols" w:hint="default"/>
        <w:color w:val="000000"/>
        <w:sz w:val="22"/>
        <w:szCs w:val="22"/>
      </w:rPr>
    </w:lvl>
    <w:lvl w:ilvl="3">
      <w:start w:val="1"/>
      <w:numFmt w:val="bullet"/>
      <w:lvlText w:val="●"/>
      <w:lvlJc w:val="start"/>
      <w:pPr>
        <w:tabs>
          <w:tab w:val="num" w:pos="0"/>
        </w:tabs>
        <w:ind w:start="1800" w:hanging="360"/>
      </w:pPr>
      <w:rPr>
        <w:rFonts w:ascii="Noto Sans Symbols" w:hAnsi="Noto Sans Symbols" w:cs="Noto Sans Symbols" w:hint="default"/>
        <w:color w:val="000000"/>
        <w:sz w:val="22"/>
        <w:szCs w:val="22"/>
      </w:rPr>
    </w:lvl>
    <w:lvl w:ilvl="4">
      <w:start w:val="1"/>
      <w:numFmt w:val="bullet"/>
      <w:lvlText w:val="◦"/>
      <w:lvlJc w:val="start"/>
      <w:pPr>
        <w:tabs>
          <w:tab w:val="num" w:pos="0"/>
        </w:tabs>
        <w:ind w:start="2160" w:hanging="360"/>
      </w:pPr>
      <w:rPr>
        <w:rFonts w:ascii="Noto Sans Symbols" w:hAnsi="Noto Sans Symbols" w:cs="Noto Sans Symbols" w:hint="default"/>
        <w:color w:val="000000"/>
        <w:sz w:val="22"/>
        <w:szCs w:val="22"/>
      </w:rPr>
    </w:lvl>
    <w:lvl w:ilvl="5">
      <w:start w:val="1"/>
      <w:numFmt w:val="bullet"/>
      <w:lvlText w:val="▪"/>
      <w:lvlJc w:val="start"/>
      <w:pPr>
        <w:tabs>
          <w:tab w:val="num" w:pos="0"/>
        </w:tabs>
        <w:ind w:start="2520" w:hanging="360"/>
      </w:pPr>
      <w:rPr>
        <w:rFonts w:ascii="Noto Sans Symbols" w:hAnsi="Noto Sans Symbols" w:cs="Noto Sans Symbols" w:hint="default"/>
        <w:color w:val="000000"/>
        <w:sz w:val="22"/>
        <w:szCs w:val="22"/>
      </w:rPr>
    </w:lvl>
    <w:lvl w:ilvl="6">
      <w:start w:val="1"/>
      <w:numFmt w:val="bullet"/>
      <w:lvlText w:val="●"/>
      <w:lvlJc w:val="start"/>
      <w:pPr>
        <w:tabs>
          <w:tab w:val="num" w:pos="0"/>
        </w:tabs>
        <w:ind w:start="2880" w:hanging="360"/>
      </w:pPr>
      <w:rPr>
        <w:rFonts w:ascii="Noto Sans Symbols" w:hAnsi="Noto Sans Symbols" w:cs="Noto Sans Symbols" w:hint="default"/>
        <w:color w:val="000000"/>
        <w:sz w:val="22"/>
        <w:szCs w:val="22"/>
      </w:rPr>
    </w:lvl>
    <w:lvl w:ilvl="7">
      <w:start w:val="1"/>
      <w:numFmt w:val="bullet"/>
      <w:lvlText w:val="◦"/>
      <w:lvlJc w:val="start"/>
      <w:pPr>
        <w:tabs>
          <w:tab w:val="num" w:pos="0"/>
        </w:tabs>
        <w:ind w:start="3240" w:hanging="360"/>
      </w:pPr>
      <w:rPr>
        <w:rFonts w:ascii="Noto Sans Symbols" w:hAnsi="Noto Sans Symbols" w:cs="Noto Sans Symbols" w:hint="default"/>
        <w:color w:val="000000"/>
        <w:sz w:val="22"/>
        <w:szCs w:val="22"/>
      </w:rPr>
    </w:lvl>
    <w:lvl w:ilvl="8">
      <w:start w:val="1"/>
      <w:numFmt w:val="bullet"/>
      <w:lvlText w:val="▪"/>
      <w:lvlJc w:val="start"/>
      <w:pPr>
        <w:tabs>
          <w:tab w:val="num" w:pos="0"/>
        </w:tabs>
        <w:ind w:start="3600" w:hanging="360"/>
      </w:pPr>
      <w:rPr>
        <w:rFonts w:ascii="Noto Sans Symbols" w:hAnsi="Noto Sans Symbols" w:cs="Noto Sans Symbols" w:hint="default"/>
        <w:color w:val="000000"/>
        <w:sz w:val="22"/>
        <w:szCs w:val="22"/>
      </w:rPr>
    </w:lvl>
  </w:abstractNum>
  <w:abstractNum w:abstractNumId="2">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
      <w:lvlJc w:val="start"/>
      <w:pPr>
        <w:tabs>
          <w:tab w:val="num" w:pos="0"/>
        </w:tabs>
        <w:ind w:start="1080" w:hanging="360"/>
      </w:pPr>
      <w:rPr>
        <w:rFonts w:ascii="Noto Sans Symbols" w:hAnsi="Noto Sans Symbols" w:cs="Noto Sans Symbols" w:hint="default"/>
      </w:rPr>
    </w:lvl>
    <w:lvl w:ilvl="2">
      <w:start w:val="1"/>
      <w:numFmt w:val="bullet"/>
      <w:lvlText w:val="▪"/>
      <w:lvlJc w:val="start"/>
      <w:pPr>
        <w:tabs>
          <w:tab w:val="num" w:pos="0"/>
        </w:tabs>
        <w:ind w:start="1440" w:hanging="360"/>
      </w:pPr>
      <w:rPr>
        <w:rFonts w:ascii="Noto Sans Symbols" w:hAnsi="Noto Sans Symbols" w:cs="Noto Sans Symbols" w:hint="default"/>
      </w:rPr>
    </w:lvl>
    <w:lvl w:ilvl="3">
      <w:start w:val="1"/>
      <w:numFmt w:val="bullet"/>
      <w:lvlText w:val="●"/>
      <w:lvlJc w:val="start"/>
      <w:pPr>
        <w:tabs>
          <w:tab w:val="num" w:pos="0"/>
        </w:tabs>
        <w:ind w:start="1800" w:hanging="360"/>
      </w:pPr>
      <w:rPr>
        <w:rFonts w:ascii="Noto Sans Symbols" w:hAnsi="Noto Sans Symbols" w:cs="Noto Sans Symbols" w:hint="default"/>
      </w:rPr>
    </w:lvl>
    <w:lvl w:ilvl="4">
      <w:start w:val="1"/>
      <w:numFmt w:val="bullet"/>
      <w:lvlText w:val="◦"/>
      <w:lvlJc w:val="start"/>
      <w:pPr>
        <w:tabs>
          <w:tab w:val="num" w:pos="0"/>
        </w:tabs>
        <w:ind w:start="2160" w:hanging="360"/>
      </w:pPr>
      <w:rPr>
        <w:rFonts w:ascii="Noto Sans Symbols" w:hAnsi="Noto Sans Symbols" w:cs="Noto Sans Symbols" w:hint="default"/>
      </w:rPr>
    </w:lvl>
    <w:lvl w:ilvl="5">
      <w:start w:val="1"/>
      <w:numFmt w:val="bullet"/>
      <w:lvlText w:val="▪"/>
      <w:lvlJc w:val="start"/>
      <w:pPr>
        <w:tabs>
          <w:tab w:val="num" w:pos="0"/>
        </w:tabs>
        <w:ind w:start="2520" w:hanging="360"/>
      </w:pPr>
      <w:rPr>
        <w:rFonts w:ascii="Noto Sans Symbols" w:hAnsi="Noto Sans Symbols" w:cs="Noto Sans Symbols" w:hint="default"/>
      </w:rPr>
    </w:lvl>
    <w:lvl w:ilvl="6">
      <w:start w:val="1"/>
      <w:numFmt w:val="bullet"/>
      <w:lvlText w:val="●"/>
      <w:lvlJc w:val="start"/>
      <w:pPr>
        <w:tabs>
          <w:tab w:val="num" w:pos="0"/>
        </w:tabs>
        <w:ind w:start="2880" w:hanging="360"/>
      </w:pPr>
      <w:rPr>
        <w:rFonts w:ascii="Noto Sans Symbols" w:hAnsi="Noto Sans Symbols" w:cs="Noto Sans Symbols" w:hint="default"/>
      </w:rPr>
    </w:lvl>
    <w:lvl w:ilvl="7">
      <w:start w:val="1"/>
      <w:numFmt w:val="bullet"/>
      <w:lvlText w:val="◦"/>
      <w:lvlJc w:val="start"/>
      <w:pPr>
        <w:tabs>
          <w:tab w:val="num" w:pos="0"/>
        </w:tabs>
        <w:ind w:start="3240" w:hanging="360"/>
      </w:pPr>
      <w:rPr>
        <w:rFonts w:ascii="Noto Sans Symbols" w:hAnsi="Noto Sans Symbols" w:cs="Noto Sans Symbols" w:hint="default"/>
      </w:rPr>
    </w:lvl>
    <w:lvl w:ilvl="8">
      <w:start w:val="1"/>
      <w:numFmt w:val="bullet"/>
      <w:lvlText w:val="▪"/>
      <w:lvlJc w:val="start"/>
      <w:pPr>
        <w:tabs>
          <w:tab w:val="num" w:pos="0"/>
        </w:tabs>
        <w:ind w:start="3600" w:hanging="360"/>
      </w:pPr>
      <w:rPr>
        <w:rFonts w:ascii="Noto Sans Symbols" w:hAnsi="Noto Sans Symbols" w:cs="Noto Sans Symbol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sq-AL" w:eastAsia="zh-CN" w:bidi="hi-IN"/>
      </w:rPr>
    </w:rPrDefault>
    <w:pPrDefault>
      <w:pPr>
        <w:suppressAutoHyphens w:val="true"/>
      </w:pPr>
    </w:pPrDefault>
  </w:docDefaults>
  <w:style w:type="paragraph" w:styleId="Normal">
    <w:name w:val="Normal"/>
    <w:qFormat/>
    <w:pPr>
      <w:widowControl/>
      <w:suppressAutoHyphens w:val="true"/>
      <w:bidi w:val="0"/>
      <w:spacing w:lineRule="auto" w:line="259" w:before="0" w:after="160"/>
      <w:jc w:val="start"/>
    </w:pPr>
    <w:rPr>
      <w:rFonts w:ascii="Calibri" w:hAnsi="Calibri" w:eastAsia="Calibri" w:cs="Calibri"/>
      <w:color w:val="auto"/>
      <w:kern w:val="0"/>
      <w:sz w:val="22"/>
      <w:szCs w:val="22"/>
      <w:lang w:val="sq-AL"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spacing w:lineRule="auto" w:line="240" w:before="140" w:after="120"/>
    </w:pPr>
    <w:rPr>
      <w:rFonts w:ascii="Liberation Serif" w:hAnsi="Liberation Serif" w:eastAsia="Liberation Serif" w:cs="Liberation Serif"/>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default="1">
    <w:name w:val="normal1"/>
    <w:qFormat/>
    <w:pPr>
      <w:widowControl/>
      <w:suppressAutoHyphens w:val="true"/>
      <w:bidi w:val="0"/>
      <w:spacing w:lineRule="auto" w:line="259" w:before="0" w:after="160"/>
      <w:jc w:val="start"/>
    </w:pPr>
    <w:rPr>
      <w:rFonts w:ascii="Calibri" w:hAnsi="Calibri" w:eastAsia="Calibri" w:cs="Calibri"/>
      <w:color w:val="auto"/>
      <w:kern w:val="0"/>
      <w:sz w:val="22"/>
      <w:szCs w:val="22"/>
      <w:lang w:val="sq-AL"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info@em-al.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
</Relationships>
</file>

<file path=word/_rels/head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15</TotalTime>
  <Application>LibreOffice/25.8.7.3$Windows_X86_64 LibreOffice_project/30742500f2d3eb4366ac312fa33d3dcabdb3eba5</Application>
  <AppVersion>15.0000</AppVersion>
  <Pages>3</Pages>
  <Words>804</Words>
  <Characters>4905</Characters>
  <CharactersWithSpaces>5905</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ND</cp:lastModifiedBy>
  <dcterms:modified xsi:type="dcterms:W3CDTF">2026-06-23T15:31:27Z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ActionId">
    <vt:lpwstr>5bc33cf2-aef1-47ff-8cd7-7223ff98aa91</vt:lpwstr>
  </property>
  <property fmtid="{D5CDD505-2E9C-101B-9397-08002B2CF9AE}" pid="3" name="MSIP_Label_defa4170-0d19-0005-0004-bc88714345d2_ContentBits">
    <vt:lpwstr>0</vt:lpwstr>
  </property>
  <property fmtid="{D5CDD505-2E9C-101B-9397-08002B2CF9AE}" pid="4" name="MSIP_Label_defa4170-0d19-0005-0004-bc88714345d2_Enabled">
    <vt:lpwstr>true</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etDate">
    <vt:lpwstr>2025-06-04T10:07:06Z</vt:lpwstr>
  </property>
  <property fmtid="{D5CDD505-2E9C-101B-9397-08002B2CF9AE}" pid="8" name="MSIP_Label_defa4170-0d19-0005-0004-bc88714345d2_SiteId">
    <vt:lpwstr>a6d8c142-f9de-4d0d-ba68-55029357c417</vt:lpwstr>
  </property>
  <property fmtid="{D5CDD505-2E9C-101B-9397-08002B2CF9AE}" pid="9" name="MSIP_Label_defa4170-0d19-0005-0004-bc88714345d2_Tag">
    <vt:lpwstr>10, 3, 0, 1</vt:lpwstr>
  </property>
</Properties>
</file>