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lang w:val="sq-AL"/>
        </w:rPr>
      </w:pPr>
      <w:r>
        <w:rPr>
          <w:b/>
          <w:bCs/>
          <w:lang w:val="sq-AL"/>
        </w:rPr>
      </w:r>
    </w:p>
    <w:p>
      <w:pPr>
        <w:pStyle w:val="BodyText"/>
        <w:bidi w:val="0"/>
        <w:jc w:val="start"/>
        <w:rPr>
          <w:lang w:val="sq-AL"/>
        </w:rPr>
      </w:pPr>
      <w:r>
        <w:rPr>
          <w:lang w:val="sq-AL"/>
        </w:rPr>
      </w:r>
    </w:p>
    <w:p>
      <w:pPr>
        <w:pStyle w:val="BodyText"/>
        <w:numPr>
          <w:ilvl w:val="0"/>
          <w:numId w:val="1"/>
        </w:numPr>
        <w:bidi w:val="0"/>
        <w:jc w:val="start"/>
        <w:rPr>
          <w:b w:val="false"/>
          <w:bCs w:val="false"/>
          <w:lang w:val="sq-AL"/>
        </w:rPr>
      </w:pPr>
      <w:r>
        <w:rPr>
          <w:b w:val="false"/>
          <w:bCs w:val="false"/>
          <w:lang w:val="sq-AL"/>
        </w:rPr>
        <w:t xml:space="preserve">Nga të dhënat e raportit vjetor të Komisionerit për Informimin dhe Mbrojtjen e të Dhënave Personale në vitin 2024, ka pasur 12 mijë kërkesa për informacion, dhe rreth 1 000 ankesa drejtuar Komisionerit. Sipas vlerësimeve të Komisionerit, rreth 60-70% e rasteve që sështë dërguar përgjigje vjen për shkak të neglizhencës apo ngarkesës së punës, në rastet kur është refuzuar përgjigje arsyeja kryesore ka qenë konfidencialiteti i informaciont apo fakti që kërkesa ka qenë e paqartë. </w:t>
      </w:r>
      <w:r>
        <w:rPr>
          <w:b w:val="false"/>
          <w:bCs w:val="false"/>
          <w:lang w:val="sq-AL"/>
        </w:rPr>
        <w:t xml:space="preserve">Sipas këtyre problematikave të nxjerra është e nevojshme: </w:t>
      </w:r>
    </w:p>
    <w:p>
      <w:pPr>
        <w:pStyle w:val="BodyText"/>
        <w:numPr>
          <w:ilvl w:val="0"/>
          <w:numId w:val="0"/>
        </w:numPr>
        <w:bidi w:val="0"/>
        <w:ind w:hanging="0" w:start="720"/>
        <w:jc w:val="start"/>
        <w:rPr>
          <w:b w:val="false"/>
          <w:bCs w:val="false"/>
          <w:lang w:val="sq-AL"/>
        </w:rPr>
      </w:pPr>
      <w:r>
        <w:rPr>
          <w:b w:val="false"/>
          <w:bCs w:val="false"/>
          <w:lang w:val="sq-AL"/>
        </w:rPr>
        <w:t xml:space="preserve">- Zhvillimi i trajnimeve të administratës publike për mënyrën e klasifikimit të informacionit, për të qartësuar cili informacion mund të jepet dhe cili jo, për rritjen e transparencës publike (publikimi i sa më shumë informacioneve në faqet e tyre zyrtare ul rrjedhimisht kërkesat për informacion) , qartësim i përgjegjësisë përmosdhënien e informacionit ku me ligjin e ri kjo përgjegjësi nuk bie më vetëm te koordinatorët e informimit publik, por tek të gjithë përfaqësuesit e administratës që janë përgjegjës për informacinin e kërkuar, qartësim dhe dallim i qartë ndërmjet injorimit të kërkesës dhe refuzimit të saj, </w:t>
      </w:r>
    </w:p>
    <w:p>
      <w:pPr>
        <w:pStyle w:val="BodyText"/>
        <w:numPr>
          <w:ilvl w:val="0"/>
          <w:numId w:val="0"/>
        </w:numPr>
        <w:bidi w:val="0"/>
        <w:ind w:hanging="0" w:start="720"/>
        <w:jc w:val="start"/>
        <w:rPr>
          <w:b w:val="false"/>
          <w:bCs w:val="false"/>
          <w:lang w:val="sq-AL"/>
        </w:rPr>
      </w:pPr>
      <w:r>
        <w:rPr>
          <w:b w:val="false"/>
          <w:bCs w:val="false"/>
          <w:lang w:val="sq-AL"/>
        </w:rPr>
        <w:t xml:space="preserve">-Fushata informimi dhe ndërgjegjësimi, por edhe trajnime e workshope (ku këtu mund të bashkëpunohet ngushtësisht me organizata të shoqërisë civile apo universitete) për të trajnuar dhe informuar si përfaqësuesit e medias ashtu dhe qytetarët në lidhje me të drejtën për informimin publik, mbi inofrmacinet që mund të kërkohen, mënyra e përgatitjes së kërkesës për informacion dhe hapat që duhet të ndiqen </w:t>
      </w:r>
    </w:p>
    <w:p>
      <w:pPr>
        <w:pStyle w:val="BodyText"/>
        <w:numPr>
          <w:ilvl w:val="0"/>
          <w:numId w:val="1"/>
        </w:numPr>
        <w:bidi w:val="0"/>
        <w:jc w:val="start"/>
        <w:rPr>
          <w:b w:val="false"/>
          <w:bCs w:val="false"/>
          <w:lang w:val="sq-AL"/>
        </w:rPr>
      </w:pPr>
      <w:r>
        <w:rPr>
          <w:b w:val="false"/>
          <w:bCs w:val="false"/>
          <w:lang w:val="sq-AL"/>
        </w:rPr>
        <w:t xml:space="preserve">Sa i përket rolit të koordinatorit ai duhet të vijë në dy forma, jo vetëm si përgjegjës për të koordinauar kërkesat për informacion apo të ofrojë informacionin e kërkuar, por edhe të shërbejë si një pikë orientuese dhe sqaruese për qytetarët sa i përket të drejtës së tyre për informim dhe kërkesave që ata sjellin. Shembuj pozitivë nga praktika e vendeve më të zhvilluara tregojnë që këto zyra duhet të kenë të theksuar dhe aspektin empatik pra të jenëmikpritëse dhe miqësore me qytetarët dhe tu ofrojnë suportin e duhur për të kuptuar qartë të drejtat e tyre sa i përket të drejtës për informim. </w:t>
      </w:r>
    </w:p>
    <w:p>
      <w:pPr>
        <w:pStyle w:val="BodyText"/>
        <w:numPr>
          <w:ilvl w:val="0"/>
          <w:numId w:val="1"/>
        </w:numPr>
        <w:bidi w:val="0"/>
        <w:jc w:val="start"/>
        <w:rPr>
          <w:b w:val="false"/>
          <w:bCs w:val="false"/>
          <w:lang w:val="sq-AL"/>
        </w:rPr>
      </w:pPr>
      <w:r>
        <w:rPr>
          <w:b w:val="false"/>
          <w:bCs w:val="false"/>
          <w:lang w:val="sq-AL"/>
        </w:rPr>
        <w:t xml:space="preserve">Duhet diversifikuar mënyra e dhënies së informacionit publik nga institucionet. Mënyrat më të përdorura janë nëpërmjet e-mailit, me shkresë me postë, me anë të telefonit. Por një praktikë poritive nga Sllovakia është edhe shembulli i dhënies së informimit me anë të celularit dhe mesazheve. </w:t>
      </w:r>
    </w:p>
    <w:p>
      <w:pPr>
        <w:pStyle w:val="BodyText"/>
        <w:numPr>
          <w:ilvl w:val="0"/>
          <w:numId w:val="1"/>
        </w:numPr>
        <w:bidi w:val="0"/>
        <w:jc w:val="start"/>
        <w:rPr>
          <w:b w:val="false"/>
          <w:bCs w:val="false"/>
          <w:lang w:val="sq-AL"/>
        </w:rPr>
      </w:pPr>
      <w:r>
        <w:rPr>
          <w:b w:val="false"/>
          <w:bCs w:val="false"/>
          <w:lang w:val="sq-AL"/>
        </w:rPr>
        <w:t xml:space="preserve">Sllovakia ka diversfikuar dhe autoritetet që duhet të japin informacionin publik duke mos u ndalur vetëm te institucionet e administratës publike, por duke përfshirë dhe enitetet e themeluara nga ligji apo financuar nga shteti si universitetet, spitalet, muzetë etj. Kompanitë e sigurimit shëndetësor janë gjithashtu të përfshira, së bashku me kompanitë ku shteti owns majority share apo kontrollon bordin. Një zhvillim i 2025 ka përfshirë në këtë ligj si autoritete që janë të detyruara për informimin publik edhe organizatat jo-fitimprurëse që kanë marrë fonde nga buxheti i shtetit. </w:t>
      </w:r>
      <w:r>
        <w:rPr>
          <w:b w:val="false"/>
          <w:bCs w:val="false"/>
          <w:lang w:val="sq-AL"/>
        </w:rPr>
        <w:t xml:space="preserve">Nga diskutimet me pjesëmarrësit u sugjerua që si entitete për informimin publik dhe transparencën të përfhishen dhe partitë politike, por edhe universitetet, spitalet private apo institucioneve të tjera që edhe pse janë private, ato japin një shërbim të interesit publik. </w:t>
      </w:r>
    </w:p>
    <w:p>
      <w:pPr>
        <w:pStyle w:val="BodyText"/>
        <w:numPr>
          <w:ilvl w:val="0"/>
          <w:numId w:val="1"/>
        </w:numPr>
        <w:bidi w:val="0"/>
        <w:jc w:val="start"/>
        <w:rPr>
          <w:b w:val="false"/>
          <w:bCs w:val="false"/>
          <w:lang w:val="sq-AL"/>
        </w:rPr>
      </w:pPr>
      <w:r>
        <w:rPr>
          <w:b w:val="false"/>
          <w:bCs w:val="false"/>
          <w:lang w:val="sq-AL"/>
        </w:rPr>
        <w:t xml:space="preserve">Një rast tjetër praktike pozitive është edhe fakti që që ligji parashikon sanksione dhe ndaj atyre që cilësohen si Harassing Requests. Pra kur vijnë kërkesa të shumta, pa ndonjë qëllim për tu informuar po me qëllimin për të ngarkuar apo shqetësuar institucionet publike. Për të përcaktuar nëse një kërkesë e tillë do të quhet harassing/shqetësuese janë përcaktuar qartë disa tipare dhe karakteristika që duhet të ketë. Nëse një aktivitet i tillë quhet si harassing request atëherë institucioni nuk është i detyruar të përgjigjet dhe nuk penalizohet për këtë mosveprim. </w:t>
      </w:r>
    </w:p>
    <w:p>
      <w:pPr>
        <w:pStyle w:val="BodyText"/>
        <w:numPr>
          <w:ilvl w:val="0"/>
          <w:numId w:val="0"/>
        </w:numPr>
        <w:bidi w:val="0"/>
        <w:ind w:hanging="0" w:start="720"/>
        <w:jc w:val="start"/>
        <w:rPr>
          <w:b w:val="false"/>
          <w:bCs w:val="false"/>
          <w:lang w:val="sq-AL"/>
        </w:rPr>
      </w:pPr>
      <w:r>
        <w:rPr>
          <w:b w:val="false"/>
          <w:bCs w:val="false"/>
          <w:lang w:val="sq-AL"/>
        </w:rPr>
        <w:t xml:space="preserve">-Gjithsesi është e rëndësishme që metodologjia që përdoret për të identifikuar dh eklasifikuar këto harassing requests duet të jetë e qartë dhe e mirëpërcaktuar, dhe institucionet publike duhet që të trajnohen për identifikimin e tyre </w:t>
      </w:r>
    </w:p>
    <w:p>
      <w:pPr>
        <w:pStyle w:val="BodyText"/>
        <w:numPr>
          <w:ilvl w:val="0"/>
          <w:numId w:val="1"/>
        </w:numPr>
        <w:bidi w:val="0"/>
        <w:jc w:val="start"/>
        <w:rPr>
          <w:b w:val="false"/>
          <w:bCs w:val="false"/>
          <w:lang w:val="sq-AL"/>
        </w:rPr>
      </w:pPr>
      <w:r>
        <w:rPr>
          <w:b w:val="false"/>
          <w:bCs w:val="false"/>
          <w:lang w:val="sq-AL"/>
        </w:rPr>
        <w:t xml:space="preserve">Sa i përket transparencës dhe informimit publik, nuk mjafton që informacioni të publikohet dhe të jetë në faqen zyrtare të institucionit, po mbi të gjitha që transparenca të jetë vërtet domethënese dhe informacioni publik të jetë me vlerë për të gjithë të interesuarit ai duhet të jetë sa me i qartë, sa më i organizuar, sa më lehtë i identifikueshëm nga të gjithë. Pra ka raste kur autoritetet mjaftohen vetëm me hedhjen e informacionit të skanuar, apo pa emërtimet e sakta të cilat e bëjnë të vështirë kërkimin dhe identifikimin e tij. </w:t>
      </w:r>
    </w:p>
    <w:p>
      <w:pPr>
        <w:pStyle w:val="BodyText"/>
        <w:numPr>
          <w:ilvl w:val="0"/>
          <w:numId w:val="1"/>
        </w:numPr>
        <w:bidi w:val="0"/>
        <w:jc w:val="start"/>
        <w:rPr>
          <w:b w:val="false"/>
          <w:bCs w:val="false"/>
          <w:lang w:val="sq-AL"/>
        </w:rPr>
      </w:pPr>
      <w:r>
        <w:rPr>
          <w:b w:val="false"/>
          <w:bCs w:val="false"/>
          <w:lang w:val="sq-AL"/>
        </w:rPr>
        <w:t xml:space="preserve">Një rast shumë pozitiv i transparencës dhe llogaridhënies që bën dhe luftën kundër korrupsionit, është detyrimi i çdo institucioni publik në Sllovaki të publikojë kontratat e nënshkruara në faqet e tyre zyrtare si dhe në Regjistrin online kombëtar që është bërë funksional që nga 2020 për institucionet publike lokale. Nëse kontrata nuk publikohet ajo nuk mund të cilësohet e vlefshme. </w:t>
      </w:r>
    </w:p>
    <w:p>
      <w:pPr>
        <w:pStyle w:val="BodyText"/>
        <w:numPr>
          <w:ilvl w:val="0"/>
          <w:numId w:val="1"/>
        </w:numPr>
        <w:bidi w:val="0"/>
        <w:jc w:val="start"/>
        <w:rPr>
          <w:b w:val="false"/>
          <w:bCs w:val="false"/>
          <w:lang w:val="sq-AL"/>
        </w:rPr>
      </w:pPr>
      <w:r>
        <w:rPr>
          <w:b w:val="false"/>
          <w:bCs w:val="false"/>
          <w:lang w:val="sq-AL"/>
        </w:rPr>
        <w:t xml:space="preserve">Interpretimi i institucioneve për aktet e brendshme shpeshherë refuzojnë që ta japin si informacion duke i cilësuar akte dhe dokumente të brendshme të institucionit. Ndërkohë që pas nëdrhyrjes së Komisonit dhe ankesave të ardhura nga palët e interesuara ato e japin. Kjo dëmton punën monitoruese të organizatave të shoqërisë civile dhe ekspertëve, si dhe sjell kosto në kohë dhe burime. </w:t>
      </w:r>
    </w:p>
    <w:p>
      <w:pPr>
        <w:pStyle w:val="BodyText"/>
        <w:numPr>
          <w:ilvl w:val="0"/>
          <w:numId w:val="1"/>
        </w:numPr>
        <w:bidi w:val="0"/>
        <w:jc w:val="start"/>
        <w:rPr>
          <w:b w:val="false"/>
          <w:bCs w:val="false"/>
          <w:lang w:val="sq-AL"/>
        </w:rPr>
      </w:pPr>
      <w:r>
        <w:rPr>
          <w:b w:val="false"/>
          <w:bCs w:val="false"/>
          <w:lang w:val="sq-AL"/>
        </w:rPr>
        <w:t xml:space="preserve">Rekomandohet që në rastet ku ka ndërhyrje të Komisionit komunikimi i këtij institucioni me institucionet publike, ndaj të cilave ka ardhur ankesa të realizohet në mënyrë formale (nëpërmjet emailit) në mënyrë që të ketë gjurmueshmëri në komnikimit. Kjo rrit besimin në proces dhe bën të mundur të komunikimi të jetë lehtë i gjurmueshëm dhe nga palët e treta të interesuara. </w:t>
      </w:r>
    </w:p>
    <w:p>
      <w:pPr>
        <w:pStyle w:val="BodyText"/>
        <w:numPr>
          <w:ilvl w:val="0"/>
          <w:numId w:val="1"/>
        </w:numPr>
        <w:bidi w:val="0"/>
        <w:jc w:val="start"/>
        <w:rPr>
          <w:b w:val="false"/>
          <w:bCs w:val="false"/>
          <w:lang w:val="sq-AL"/>
        </w:rPr>
      </w:pPr>
      <w:r>
        <w:rPr>
          <w:b w:val="false"/>
          <w:bCs w:val="false"/>
          <w:lang w:val="sq-AL"/>
        </w:rPr>
        <w:t xml:space="preserve">Edhe pse momentalisht ekziston në programin e transparencës së çdo institucioni një listë me pyetjet dhe përgjigjet e ardhura, një rekomandim vjen për ta dixhitalizuar dhe për ta bërë më praktike këtë ndërveprim të pyetjeve më të shpeshta, nëmënyrë që kjo të uli inflacionin e kërkesave për informacion për të njëjtën çështje dhe ul dhe ngarkesën e përfaqësuesve të institucionit të duhet tu përgjigjen një nga një Krijimi i një chat box, ose një skesioni interaktiv të dedikuar të pyetjeve më të shpeshta duke shfrytëzuar dh emundësitë që mund të jselli dhe përdorimi i inteligjencës artificiale. </w:t>
      </w:r>
    </w:p>
    <w:p>
      <w:pPr>
        <w:pStyle w:val="BodyText"/>
        <w:numPr>
          <w:ilvl w:val="0"/>
          <w:numId w:val="1"/>
        </w:numPr>
        <w:bidi w:val="0"/>
        <w:jc w:val="start"/>
        <w:rPr>
          <w:b w:val="false"/>
          <w:bCs w:val="false"/>
          <w:lang w:val="sq-AL"/>
        </w:rPr>
      </w:pPr>
      <w:r>
        <w:rPr>
          <w:b w:val="false"/>
          <w:bCs w:val="false"/>
          <w:lang w:val="sq-AL"/>
        </w:rPr>
        <w:t xml:space="preserve">Komisioneri përbëhet nga një stf prej 15 personash, po ka ende problematika në kapacitetin për të monitoruar dhe mbikëqyrur zbatimin e ligjit, mungojnë burimet njerëzore të nevojshme por edhe buxhetimi i duhur duke çuar në rritje të ngarkesës së punës. </w:t>
      </w:r>
    </w:p>
    <w:p>
      <w:pPr>
        <w:pStyle w:val="BodyText"/>
        <w:numPr>
          <w:ilvl w:val="0"/>
          <w:numId w:val="1"/>
        </w:numPr>
        <w:bidi w:val="0"/>
        <w:jc w:val="start"/>
        <w:rPr>
          <w:b w:val="false"/>
          <w:bCs w:val="false"/>
          <w:lang w:val="sq-AL"/>
        </w:rPr>
      </w:pPr>
      <w:r>
        <w:rPr>
          <w:b w:val="false"/>
          <w:bCs w:val="false"/>
          <w:lang w:val="sq-AL"/>
        </w:rPr>
        <w:t xml:space="preserve">Krijimi i një kulture të përgjithshme të transparencës dhe llogaridhënies nga ana e adminsitratës publike, me një njohuri dhe koncpetim të qartë të detyrimeve dhe prëgejgjësive që vijnë nga e drejta e çdokujt për informim publik, por edhe një përgjegjshmëri dhe nëdrgjegjësim i qytetarëve sa i përket të drejtës për informim por edhe kufizimeve që ajo ka. </w:t>
      </w:r>
    </w:p>
    <w:p>
      <w:pPr>
        <w:pStyle w:val="BodyText"/>
        <w:bidi w:val="0"/>
        <w:jc w:val="start"/>
        <w:rPr>
          <w:lang w:val="sq-AL"/>
        </w:rPr>
      </w:pPr>
      <w:r>
        <w:rPr>
          <w:lang w:val="sq-AL"/>
        </w:rPr>
      </w:r>
    </w:p>
    <w:p>
      <w:pPr>
        <w:pStyle w:val="BodyText"/>
        <w:rPr>
          <w:lang w:val="sq-AL"/>
        </w:rPr>
      </w:pPr>
      <w:r>
        <w:rPr>
          <w:lang w:val="sq-AL"/>
        </w:rPr>
      </w:r>
    </w:p>
    <w:p>
      <w:pPr>
        <w:pStyle w:val="Normal"/>
        <w:bidi w:val="0"/>
        <w:jc w:val="start"/>
        <w:rPr>
          <w:lang w:val="sq-AL"/>
        </w:rPr>
      </w:pPr>
      <w:r>
        <w:rPr>
          <w:lang w:val="sq-AL"/>
        </w:rPr>
      </w:r>
    </w:p>
    <w:p>
      <w:pPr>
        <w:pStyle w:val="Normal"/>
        <w:bidi w:val="0"/>
        <w:jc w:val="start"/>
        <w:rPr>
          <w:lang w:val="sq-AL"/>
        </w:rPr>
      </w:pPr>
      <w:r>
        <w:rPr>
          <w:lang w:val="sq-AL"/>
        </w:rPr>
      </w:r>
    </w:p>
    <w:p>
      <w:pPr>
        <w:pStyle w:val="Heading1"/>
        <w:bidi w:val="0"/>
        <w:jc w:val="start"/>
        <w:rPr>
          <w:lang w:val="sq-AL"/>
        </w:rPr>
      </w:pPr>
      <w:r>
        <w:rPr>
          <w:rStyle w:val="Strong"/>
          <w:b/>
          <w:bCs/>
          <w:sz w:val="24"/>
          <w:szCs w:val="24"/>
          <w:lang w:val="sq-AL"/>
        </w:rPr>
        <w:t>Institutional Capacities &amp; Implementation Challenges</w:t>
      </w:r>
    </w:p>
    <w:p>
      <w:pPr>
        <w:pStyle w:val="BodyText"/>
        <w:numPr>
          <w:ilvl w:val="0"/>
          <w:numId w:val="2"/>
        </w:numPr>
        <w:tabs>
          <w:tab w:val="clear" w:pos="709"/>
          <w:tab w:val="left" w:pos="0" w:leader="none"/>
        </w:tabs>
        <w:ind w:hanging="283" w:start="709"/>
        <w:rPr>
          <w:lang w:val="sq-AL"/>
        </w:rPr>
      </w:pPr>
      <w:r>
        <w:rPr>
          <w:lang w:val="sq-AL"/>
        </w:rPr>
        <w:t>According to the 2024 Annual Report of the Commissioner for the Right to Information and Protection of Personal Data, there were 12,000 information requests and around 1,000 complaints submitted to the Commissioner. Based on the Commissioner’s assessment, in 60–70% of cases where no response was provided, the cause was negligence or workload; in cases where responses were explicitly denied, the main reasons were confidentiality concerns or unclear requests.</w:t>
        <w:br/>
        <w:t>In this context, the following is needed:</w:t>
      </w:r>
    </w:p>
    <w:p>
      <w:pPr>
        <w:pStyle w:val="BodyText"/>
        <w:numPr>
          <w:ilvl w:val="1"/>
          <w:numId w:val="2"/>
        </w:numPr>
        <w:tabs>
          <w:tab w:val="clear" w:pos="709"/>
          <w:tab w:val="left" w:pos="0" w:leader="none"/>
        </w:tabs>
        <w:ind w:hanging="283" w:start="1418"/>
        <w:rPr>
          <w:lang w:val="sq-AL"/>
        </w:rPr>
      </w:pPr>
      <w:r>
        <w:rPr>
          <w:lang w:val="sq-AL"/>
        </w:rPr>
        <w:t>Development of training for public administration on how to classify information, clarifying which information can be provided and which cannot; and increasing transparency (wider publication of information reduces the number of requests).</w:t>
      </w:r>
    </w:p>
    <w:p>
      <w:pPr>
        <w:pStyle w:val="BodyText"/>
        <w:numPr>
          <w:ilvl w:val="1"/>
          <w:numId w:val="2"/>
        </w:numPr>
        <w:tabs>
          <w:tab w:val="clear" w:pos="709"/>
          <w:tab w:val="left" w:pos="0" w:leader="none"/>
        </w:tabs>
        <w:ind w:hanging="283" w:start="1418"/>
        <w:rPr>
          <w:lang w:val="sq-AL"/>
        </w:rPr>
      </w:pPr>
      <w:r>
        <w:rPr>
          <w:lang w:val="sq-AL"/>
        </w:rPr>
        <w:t>Clarification of responsibility for failure to provide information — under the new law, responsibility no longer falls solely on coordinators but on all representatives of the administration responsible for the information.</w:t>
      </w:r>
    </w:p>
    <w:p>
      <w:pPr>
        <w:pStyle w:val="BodyText"/>
        <w:numPr>
          <w:ilvl w:val="1"/>
          <w:numId w:val="2"/>
        </w:numPr>
        <w:tabs>
          <w:tab w:val="clear" w:pos="709"/>
          <w:tab w:val="left" w:pos="0" w:leader="none"/>
        </w:tabs>
        <w:ind w:hanging="283" w:start="1418"/>
        <w:rPr>
          <w:lang w:val="sq-AL"/>
        </w:rPr>
      </w:pPr>
      <w:r>
        <w:rPr>
          <w:lang w:val="sq-AL"/>
        </w:rPr>
        <w:t>Clear distinction between ignoring a request and formally refusing it.</w:t>
      </w:r>
    </w:p>
    <w:p>
      <w:pPr>
        <w:pStyle w:val="BodyText"/>
        <w:numPr>
          <w:ilvl w:val="0"/>
          <w:numId w:val="2"/>
        </w:numPr>
        <w:tabs>
          <w:tab w:val="clear" w:pos="709"/>
          <w:tab w:val="left" w:pos="0" w:leader="none"/>
        </w:tabs>
        <w:ind w:hanging="283" w:start="709"/>
        <w:rPr>
          <w:lang w:val="sq-AL"/>
        </w:rPr>
      </w:pPr>
      <w:r>
        <w:rPr>
          <w:lang w:val="sq-AL"/>
        </w:rPr>
        <w:t>The Commissioner’s Office consists of a staff of 15 people but faces serious difficulties in monitoring and supervising the implementation of the law due to limited human resources and insufficient budgeting, leading to growing workload pressures.</w:t>
      </w:r>
    </w:p>
    <w:p>
      <w:pPr>
        <w:pStyle w:val="BodyText"/>
        <w:numPr>
          <w:ilvl w:val="0"/>
          <w:numId w:val="2"/>
        </w:numPr>
        <w:tabs>
          <w:tab w:val="clear" w:pos="709"/>
          <w:tab w:val="left" w:pos="0" w:leader="none"/>
        </w:tabs>
        <w:ind w:hanging="283" w:start="709"/>
        <w:rPr>
          <w:lang w:val="sq-AL"/>
        </w:rPr>
      </w:pPr>
      <w:r>
        <w:rPr>
          <w:lang w:val="sq-AL"/>
        </w:rPr>
        <w:t>The interpretation of internal acts by institutions often results in unjustified refusal to provide information by categorizing it as an internal document. In many cases, information is disclosed only after the Commissioner’s intervention, creating obstacles for CSOs, experts, and public monitoring; this results in additional time and resource costs.</w:t>
      </w:r>
    </w:p>
    <w:p>
      <w:pPr>
        <w:pStyle w:val="HorizontalLine"/>
        <w:spacing w:before="0" w:after="0"/>
        <w:rPr>
          <w:sz w:val="24"/>
          <w:szCs w:val="24"/>
          <w:lang w:val="sq-AL"/>
        </w:rPr>
      </w:pPr>
      <w:r>
        <w:rPr>
          <w:sz w:val="24"/>
          <w:szCs w:val="24"/>
          <w:lang w:val="sq-AL"/>
        </w:rPr>
      </w:r>
    </w:p>
    <w:p>
      <w:pPr>
        <w:pStyle w:val="Heading1"/>
        <w:spacing w:before="0" w:after="283"/>
        <w:rPr>
          <w:sz w:val="24"/>
          <w:szCs w:val="24"/>
          <w:lang w:val="sq-AL"/>
        </w:rPr>
      </w:pPr>
      <w:r>
        <w:rPr>
          <w:rStyle w:val="Strong"/>
          <w:b/>
          <w:bCs/>
          <w:sz w:val="24"/>
          <w:szCs w:val="24"/>
          <w:lang w:val="sq-AL"/>
        </w:rPr>
        <w:t>II. The Role of the Public Information Coordinator</w:t>
      </w:r>
    </w:p>
    <w:p>
      <w:pPr>
        <w:pStyle w:val="BodyText"/>
        <w:numPr>
          <w:ilvl w:val="0"/>
          <w:numId w:val="3"/>
        </w:numPr>
        <w:tabs>
          <w:tab w:val="clear" w:pos="709"/>
          <w:tab w:val="left" w:pos="0" w:leader="none"/>
        </w:tabs>
        <w:ind w:hanging="283" w:start="709"/>
        <w:rPr>
          <w:lang w:val="sq-AL"/>
        </w:rPr>
      </w:pPr>
      <w:r>
        <w:rPr>
          <w:lang w:val="sq-AL"/>
        </w:rPr>
        <w:t>The role of the coordinator should be twofold:</w:t>
      </w:r>
    </w:p>
    <w:p>
      <w:pPr>
        <w:pStyle w:val="BodyText"/>
        <w:numPr>
          <w:ilvl w:val="1"/>
          <w:numId w:val="3"/>
        </w:numPr>
        <w:tabs>
          <w:tab w:val="clear" w:pos="709"/>
          <w:tab w:val="left" w:pos="0" w:leader="none"/>
        </w:tabs>
        <w:ind w:hanging="283" w:start="1418"/>
        <w:rPr>
          <w:lang w:val="sq-AL"/>
        </w:rPr>
      </w:pPr>
      <w:r>
        <w:rPr>
          <w:lang w:val="sq-AL"/>
        </w:rPr>
        <w:t>to coordinate information requests and provide the requested information;</w:t>
      </w:r>
    </w:p>
    <w:p>
      <w:pPr>
        <w:pStyle w:val="BodyText"/>
        <w:numPr>
          <w:ilvl w:val="1"/>
          <w:numId w:val="3"/>
        </w:numPr>
        <w:tabs>
          <w:tab w:val="clear" w:pos="709"/>
          <w:tab w:val="left" w:pos="0" w:leader="none"/>
        </w:tabs>
        <w:ind w:hanging="283" w:start="1418"/>
        <w:rPr>
          <w:lang w:val="sq-AL"/>
        </w:rPr>
      </w:pPr>
      <w:r>
        <w:rPr>
          <w:lang w:val="sq-AL"/>
        </w:rPr>
        <w:t>to serve as a guiding point for citizens, helping them understand the right to information and how to formulate their request.</w:t>
        <w:br/>
        <w:t>Positive practices from developed countries show that these offices should be welcoming, empathetic, and offer real support to citizens.</w:t>
      </w:r>
    </w:p>
    <w:p>
      <w:pPr>
        <w:pStyle w:val="BodyText"/>
        <w:numPr>
          <w:ilvl w:val="0"/>
          <w:numId w:val="3"/>
        </w:numPr>
        <w:tabs>
          <w:tab w:val="clear" w:pos="709"/>
          <w:tab w:val="left" w:pos="0" w:leader="none"/>
        </w:tabs>
        <w:ind w:hanging="283" w:start="709"/>
        <w:rPr>
          <w:lang w:val="sq-AL"/>
        </w:rPr>
      </w:pPr>
      <w:r>
        <w:rPr>
          <w:lang w:val="sq-AL"/>
        </w:rPr>
        <w:t xml:space="preserve">It is recommended that communication between the Commissioner and the institutions subject to complaints be </w:t>
      </w:r>
      <w:r>
        <w:rPr>
          <w:rStyle w:val="Strong"/>
          <w:lang w:val="sq-AL"/>
        </w:rPr>
        <w:t>formal and conducted via email</w:t>
      </w:r>
      <w:r>
        <w:rPr>
          <w:lang w:val="sq-AL"/>
        </w:rPr>
        <w:t>, to ensure traceability, transparency, and easier access for third parties.</w:t>
      </w:r>
    </w:p>
    <w:p>
      <w:pPr>
        <w:pStyle w:val="HorizontalLine"/>
        <w:spacing w:before="0" w:after="0"/>
        <w:rPr>
          <w:sz w:val="24"/>
          <w:szCs w:val="24"/>
          <w:lang w:val="sq-AL"/>
        </w:rPr>
      </w:pPr>
      <w:r>
        <w:rPr>
          <w:sz w:val="24"/>
          <w:szCs w:val="24"/>
          <w:lang w:val="sq-AL"/>
        </w:rPr>
      </w:r>
    </w:p>
    <w:p>
      <w:pPr>
        <w:pStyle w:val="Heading1"/>
        <w:spacing w:before="0" w:after="283"/>
        <w:rPr>
          <w:sz w:val="24"/>
          <w:szCs w:val="24"/>
          <w:lang w:val="sq-AL"/>
        </w:rPr>
      </w:pPr>
      <w:r>
        <w:rPr>
          <w:rStyle w:val="Strong"/>
          <w:b/>
          <w:bCs/>
          <w:sz w:val="24"/>
          <w:szCs w:val="24"/>
          <w:lang w:val="sq-AL"/>
        </w:rPr>
        <w:t>III. Public Information, Awareness-Raising &amp; Communication Channels</w:t>
      </w:r>
    </w:p>
    <w:p>
      <w:pPr>
        <w:pStyle w:val="BodyText"/>
        <w:numPr>
          <w:ilvl w:val="0"/>
          <w:numId w:val="4"/>
        </w:numPr>
        <w:tabs>
          <w:tab w:val="clear" w:pos="709"/>
          <w:tab w:val="left" w:pos="0" w:leader="none"/>
        </w:tabs>
        <w:ind w:hanging="283" w:start="709"/>
        <w:rPr>
          <w:lang w:val="sq-AL"/>
        </w:rPr>
      </w:pPr>
      <w:r>
        <w:rPr>
          <w:lang w:val="sq-AL"/>
        </w:rPr>
        <w:t>Information and awareness-raising campaigns, as well as training/workshops (in cooperation with CSOs and universities) on:</w:t>
      </w:r>
    </w:p>
    <w:p>
      <w:pPr>
        <w:pStyle w:val="BodyText"/>
        <w:numPr>
          <w:ilvl w:val="1"/>
          <w:numId w:val="4"/>
        </w:numPr>
        <w:tabs>
          <w:tab w:val="clear" w:pos="709"/>
          <w:tab w:val="left" w:pos="0" w:leader="none"/>
        </w:tabs>
        <w:ind w:hanging="283" w:start="1418"/>
        <w:rPr>
          <w:lang w:val="sq-AL"/>
        </w:rPr>
      </w:pPr>
      <w:r>
        <w:rPr>
          <w:lang w:val="sq-AL"/>
        </w:rPr>
        <w:t>the right to public information;</w:t>
      </w:r>
    </w:p>
    <w:p>
      <w:pPr>
        <w:pStyle w:val="BodyText"/>
        <w:numPr>
          <w:ilvl w:val="1"/>
          <w:numId w:val="4"/>
        </w:numPr>
        <w:tabs>
          <w:tab w:val="clear" w:pos="709"/>
          <w:tab w:val="left" w:pos="0" w:leader="none"/>
        </w:tabs>
        <w:ind w:hanging="283" w:start="1418"/>
        <w:rPr>
          <w:lang w:val="sq-AL"/>
        </w:rPr>
      </w:pPr>
      <w:r>
        <w:rPr>
          <w:lang w:val="sq-AL"/>
        </w:rPr>
        <w:t>types of information that can be requested;</w:t>
      </w:r>
    </w:p>
    <w:p>
      <w:pPr>
        <w:pStyle w:val="BodyText"/>
        <w:numPr>
          <w:ilvl w:val="1"/>
          <w:numId w:val="4"/>
        </w:numPr>
        <w:tabs>
          <w:tab w:val="clear" w:pos="709"/>
          <w:tab w:val="left" w:pos="0" w:leader="none"/>
        </w:tabs>
        <w:ind w:hanging="283" w:start="1418"/>
        <w:rPr>
          <w:lang w:val="sq-AL"/>
        </w:rPr>
      </w:pPr>
      <w:r>
        <w:rPr>
          <w:lang w:val="sq-AL"/>
        </w:rPr>
        <w:t>how to prepare a request;</w:t>
      </w:r>
    </w:p>
    <w:p>
      <w:pPr>
        <w:pStyle w:val="BodyText"/>
        <w:numPr>
          <w:ilvl w:val="1"/>
          <w:numId w:val="4"/>
        </w:numPr>
        <w:tabs>
          <w:tab w:val="clear" w:pos="709"/>
          <w:tab w:val="left" w:pos="0" w:leader="none"/>
        </w:tabs>
        <w:ind w:hanging="283" w:start="1418"/>
        <w:rPr>
          <w:lang w:val="sq-AL"/>
        </w:rPr>
      </w:pPr>
      <w:r>
        <w:rPr>
          <w:lang w:val="sq-AL"/>
        </w:rPr>
        <w:t>procedural steps.</w:t>
      </w:r>
    </w:p>
    <w:p>
      <w:pPr>
        <w:pStyle w:val="BodyText"/>
        <w:numPr>
          <w:ilvl w:val="0"/>
          <w:numId w:val="4"/>
        </w:numPr>
        <w:tabs>
          <w:tab w:val="clear" w:pos="709"/>
          <w:tab w:val="left" w:pos="0" w:leader="none"/>
        </w:tabs>
        <w:ind w:hanging="283" w:start="709"/>
        <w:rPr>
          <w:lang w:val="sq-AL"/>
        </w:rPr>
      </w:pPr>
      <w:r>
        <w:rPr>
          <w:lang w:val="sq-AL"/>
        </w:rPr>
        <w:t>Diversifying the ways public information is provided: beyond email, post, and phone, the Slovak model allows provision of information through mobile phone and text messaging.</w:t>
      </w:r>
    </w:p>
    <w:p>
      <w:pPr>
        <w:pStyle w:val="BodyText"/>
        <w:numPr>
          <w:ilvl w:val="0"/>
          <w:numId w:val="4"/>
        </w:numPr>
        <w:tabs>
          <w:tab w:val="clear" w:pos="709"/>
          <w:tab w:val="left" w:pos="0" w:leader="none"/>
        </w:tabs>
        <w:ind w:hanging="283" w:start="709"/>
        <w:rPr>
          <w:lang w:val="sq-AL"/>
        </w:rPr>
      </w:pPr>
      <w:r>
        <w:rPr>
          <w:lang w:val="sq-AL"/>
        </w:rPr>
        <w:t>Transparency is not achieved merely by publishing information — it must be:</w:t>
      </w:r>
    </w:p>
    <w:p>
      <w:pPr>
        <w:pStyle w:val="BodyText"/>
        <w:numPr>
          <w:ilvl w:val="1"/>
          <w:numId w:val="4"/>
        </w:numPr>
        <w:tabs>
          <w:tab w:val="clear" w:pos="709"/>
          <w:tab w:val="left" w:pos="0" w:leader="none"/>
        </w:tabs>
        <w:ind w:hanging="283" w:start="1418"/>
        <w:rPr>
          <w:lang w:val="sq-AL"/>
        </w:rPr>
      </w:pPr>
      <w:r>
        <w:rPr>
          <w:lang w:val="sq-AL"/>
        </w:rPr>
        <w:t>clear,</w:t>
      </w:r>
    </w:p>
    <w:p>
      <w:pPr>
        <w:pStyle w:val="BodyText"/>
        <w:numPr>
          <w:ilvl w:val="1"/>
          <w:numId w:val="4"/>
        </w:numPr>
        <w:tabs>
          <w:tab w:val="clear" w:pos="709"/>
          <w:tab w:val="left" w:pos="0" w:leader="none"/>
        </w:tabs>
        <w:ind w:hanging="283" w:start="1418"/>
        <w:rPr>
          <w:lang w:val="sq-AL"/>
        </w:rPr>
      </w:pPr>
      <w:r>
        <w:rPr>
          <w:lang w:val="sq-AL"/>
        </w:rPr>
        <w:t>organized,</w:t>
      </w:r>
    </w:p>
    <w:p>
      <w:pPr>
        <w:pStyle w:val="BodyText"/>
        <w:numPr>
          <w:ilvl w:val="1"/>
          <w:numId w:val="4"/>
        </w:numPr>
        <w:tabs>
          <w:tab w:val="clear" w:pos="709"/>
          <w:tab w:val="left" w:pos="0" w:leader="none"/>
        </w:tabs>
        <w:ind w:hanging="283" w:start="1418"/>
        <w:rPr>
          <w:lang w:val="sq-AL"/>
        </w:rPr>
      </w:pPr>
      <w:r>
        <w:rPr>
          <w:lang w:val="sq-AL"/>
        </w:rPr>
        <w:t>easy to identify.</w:t>
        <w:br/>
        <w:t>The current practice of uploading documents in unstructured ways (e.g., unnamed scans) makes public access difficult.</w:t>
      </w:r>
    </w:p>
    <w:p>
      <w:pPr>
        <w:pStyle w:val="BodyText"/>
        <w:numPr>
          <w:ilvl w:val="0"/>
          <w:numId w:val="4"/>
        </w:numPr>
        <w:tabs>
          <w:tab w:val="clear" w:pos="709"/>
          <w:tab w:val="left" w:pos="0" w:leader="none"/>
        </w:tabs>
        <w:ind w:hanging="283" w:start="709"/>
        <w:rPr>
          <w:lang w:val="sq-AL"/>
        </w:rPr>
      </w:pPr>
      <w:r>
        <w:rPr>
          <w:lang w:val="sq-AL"/>
        </w:rPr>
        <w:t>Digitalizing the list of questions and answers (FAQ) to reduce repeated requests and administrative burden:</w:t>
      </w:r>
    </w:p>
    <w:p>
      <w:pPr>
        <w:pStyle w:val="BodyText"/>
        <w:numPr>
          <w:ilvl w:val="1"/>
          <w:numId w:val="4"/>
        </w:numPr>
        <w:tabs>
          <w:tab w:val="clear" w:pos="709"/>
          <w:tab w:val="left" w:pos="0" w:leader="none"/>
        </w:tabs>
        <w:ind w:hanging="283" w:start="1418"/>
        <w:rPr>
          <w:lang w:val="sq-AL"/>
        </w:rPr>
      </w:pPr>
      <w:r>
        <w:rPr>
          <w:lang w:val="sq-AL"/>
        </w:rPr>
        <w:t>creation of a chatbot or interactive section,</w:t>
      </w:r>
    </w:p>
    <w:p>
      <w:pPr>
        <w:pStyle w:val="BodyText"/>
        <w:numPr>
          <w:ilvl w:val="1"/>
          <w:numId w:val="4"/>
        </w:numPr>
        <w:tabs>
          <w:tab w:val="clear" w:pos="709"/>
          <w:tab w:val="left" w:pos="0" w:leader="none"/>
        </w:tabs>
        <w:ind w:hanging="283" w:start="1418"/>
        <w:rPr>
          <w:lang w:val="sq-AL"/>
        </w:rPr>
      </w:pPr>
      <w:r>
        <w:rPr>
          <w:lang w:val="sq-AL"/>
        </w:rPr>
        <w:t>use of artificial intelligence for automated responses.</w:t>
      </w:r>
    </w:p>
    <w:p>
      <w:pPr>
        <w:pStyle w:val="BodyText"/>
        <w:numPr>
          <w:ilvl w:val="0"/>
          <w:numId w:val="4"/>
        </w:numPr>
        <w:tabs>
          <w:tab w:val="clear" w:pos="709"/>
          <w:tab w:val="left" w:pos="0" w:leader="none"/>
        </w:tabs>
        <w:ind w:hanging="283" w:start="709"/>
        <w:rPr>
          <w:lang w:val="sq-AL"/>
        </w:rPr>
      </w:pPr>
      <w:r>
        <w:rPr>
          <w:lang w:val="sq-AL"/>
        </w:rPr>
        <w:t>The need to build a wider culture of transparency and accountability — not only within public administration but also among citizens, to understand their rights and the limits related to public information.</w:t>
      </w:r>
    </w:p>
    <w:p>
      <w:pPr>
        <w:pStyle w:val="HorizontalLine"/>
        <w:spacing w:before="0" w:after="0"/>
        <w:rPr>
          <w:sz w:val="24"/>
          <w:szCs w:val="24"/>
          <w:lang w:val="sq-AL"/>
        </w:rPr>
      </w:pPr>
      <w:r>
        <w:rPr>
          <w:sz w:val="24"/>
          <w:szCs w:val="24"/>
          <w:lang w:val="sq-AL"/>
        </w:rPr>
      </w:r>
    </w:p>
    <w:p>
      <w:pPr>
        <w:pStyle w:val="Heading1"/>
        <w:spacing w:before="0" w:after="283"/>
        <w:rPr>
          <w:sz w:val="24"/>
          <w:szCs w:val="24"/>
          <w:lang w:val="sq-AL"/>
        </w:rPr>
      </w:pPr>
      <w:r>
        <w:rPr>
          <w:rStyle w:val="Strong"/>
          <w:b/>
          <w:bCs/>
          <w:sz w:val="24"/>
          <w:szCs w:val="24"/>
          <w:lang w:val="sq-AL"/>
        </w:rPr>
        <w:t>IV. Positive Practices from Abroad (Slovakia)</w:t>
      </w:r>
    </w:p>
    <w:p>
      <w:pPr>
        <w:pStyle w:val="BodyText"/>
        <w:numPr>
          <w:ilvl w:val="0"/>
          <w:numId w:val="5"/>
        </w:numPr>
        <w:tabs>
          <w:tab w:val="clear" w:pos="709"/>
          <w:tab w:val="left" w:pos="0" w:leader="none"/>
        </w:tabs>
        <w:ind w:hanging="283" w:start="709"/>
        <w:rPr>
          <w:lang w:val="sq-AL"/>
        </w:rPr>
      </w:pPr>
      <w:r>
        <w:rPr>
          <w:lang w:val="sq-AL"/>
        </w:rPr>
        <w:t xml:space="preserve">Mandatory publication of signed contracts by public institutions on both their official websites and the National Online Register (functional since 2020). A contract that is not published </w:t>
      </w:r>
      <w:r>
        <w:rPr>
          <w:rStyle w:val="Strong"/>
          <w:lang w:val="sq-AL"/>
        </w:rPr>
        <w:t>is not valid</w:t>
      </w:r>
      <w:r>
        <w:rPr>
          <w:lang w:val="sq-AL"/>
        </w:rPr>
        <w:t xml:space="preserve"> — a highly effective anti-corruption practice.</w:t>
      </w:r>
    </w:p>
    <w:p>
      <w:pPr>
        <w:pStyle w:val="BodyText"/>
        <w:numPr>
          <w:ilvl w:val="0"/>
          <w:numId w:val="5"/>
        </w:numPr>
        <w:tabs>
          <w:tab w:val="clear" w:pos="709"/>
          <w:tab w:val="left" w:pos="0" w:leader="none"/>
        </w:tabs>
        <w:ind w:hanging="283" w:start="709"/>
        <w:rPr>
          <w:lang w:val="sq-AL"/>
        </w:rPr>
      </w:pPr>
      <w:r>
        <w:rPr>
          <w:lang w:val="sq-AL"/>
        </w:rPr>
        <w:t>Expansion of the scope of authorities required to provide public information, including:</w:t>
      </w:r>
    </w:p>
    <w:p>
      <w:pPr>
        <w:pStyle w:val="BodyText"/>
        <w:numPr>
          <w:ilvl w:val="1"/>
          <w:numId w:val="5"/>
        </w:numPr>
        <w:tabs>
          <w:tab w:val="clear" w:pos="709"/>
          <w:tab w:val="left" w:pos="0" w:leader="none"/>
        </w:tabs>
        <w:ind w:hanging="283" w:start="1418"/>
        <w:rPr>
          <w:lang w:val="sq-AL"/>
        </w:rPr>
      </w:pPr>
      <w:r>
        <w:rPr>
          <w:lang w:val="sq-AL"/>
        </w:rPr>
        <w:t>public entities established by law or funded by the state (universities, hospitals, museums);</w:t>
      </w:r>
    </w:p>
    <w:p>
      <w:pPr>
        <w:pStyle w:val="BodyText"/>
        <w:numPr>
          <w:ilvl w:val="1"/>
          <w:numId w:val="5"/>
        </w:numPr>
        <w:tabs>
          <w:tab w:val="clear" w:pos="709"/>
          <w:tab w:val="left" w:pos="0" w:leader="none"/>
        </w:tabs>
        <w:ind w:hanging="283" w:start="1418"/>
        <w:rPr>
          <w:lang w:val="sq-AL"/>
        </w:rPr>
      </w:pPr>
      <w:r>
        <w:rPr>
          <w:lang w:val="sq-AL"/>
        </w:rPr>
        <w:t>health insurance companies;</w:t>
      </w:r>
    </w:p>
    <w:p>
      <w:pPr>
        <w:pStyle w:val="BodyText"/>
        <w:numPr>
          <w:ilvl w:val="1"/>
          <w:numId w:val="5"/>
        </w:numPr>
        <w:tabs>
          <w:tab w:val="clear" w:pos="709"/>
          <w:tab w:val="left" w:pos="0" w:leader="none"/>
        </w:tabs>
        <w:ind w:hanging="283" w:start="1418"/>
        <w:rPr>
          <w:lang w:val="sq-AL"/>
        </w:rPr>
      </w:pPr>
      <w:r>
        <w:rPr>
          <w:lang w:val="sq-AL"/>
        </w:rPr>
        <w:t>companies where the state holds majority ownership or controls the board;</w:t>
      </w:r>
    </w:p>
    <w:p>
      <w:pPr>
        <w:pStyle w:val="BodyText"/>
        <w:numPr>
          <w:ilvl w:val="1"/>
          <w:numId w:val="5"/>
        </w:numPr>
        <w:tabs>
          <w:tab w:val="clear" w:pos="709"/>
          <w:tab w:val="left" w:pos="0" w:leader="none"/>
        </w:tabs>
        <w:ind w:hanging="283" w:start="1418"/>
        <w:rPr>
          <w:lang w:val="sq-AL"/>
        </w:rPr>
      </w:pPr>
      <w:r>
        <w:rPr>
          <w:lang w:val="sq-AL"/>
        </w:rPr>
        <w:t>and as of 2025, NGOs receiving public funds.</w:t>
        <w:br/>
      </w:r>
      <w:r>
        <w:rPr>
          <w:rStyle w:val="Strong"/>
          <w:lang w:val="sq-AL"/>
        </w:rPr>
        <w:t>Suggestion from participants:</w:t>
      </w:r>
      <w:r>
        <w:rPr>
          <w:lang w:val="sq-AL"/>
        </w:rPr>
        <w:t xml:space="preserve"> political parties, private universities, and private hospitals should also be included, as they provide services of public interest.</w:t>
      </w:r>
    </w:p>
    <w:p>
      <w:pPr>
        <w:pStyle w:val="BodyText"/>
        <w:numPr>
          <w:ilvl w:val="0"/>
          <w:numId w:val="5"/>
        </w:numPr>
        <w:tabs>
          <w:tab w:val="clear" w:pos="709"/>
          <w:tab w:val="left" w:pos="0" w:leader="none"/>
        </w:tabs>
        <w:ind w:hanging="283" w:start="709"/>
        <w:rPr>
          <w:lang w:val="sq-AL"/>
        </w:rPr>
      </w:pPr>
      <w:r>
        <w:rPr>
          <w:lang w:val="sq-AL"/>
        </w:rPr>
        <w:t xml:space="preserve">Introduction of sanctions for </w:t>
      </w:r>
      <w:r>
        <w:rPr>
          <w:rStyle w:val="Emphasis"/>
          <w:lang w:val="sq-AL"/>
        </w:rPr>
        <w:t>Harassing Requests</w:t>
      </w:r>
      <w:r>
        <w:rPr>
          <w:lang w:val="sq-AL"/>
        </w:rPr>
        <w:t xml:space="preserve"> — requests that do not aim to obtain information but to burden/harass institutions. The law defines their characteristics, and once a request is classified as such, the institution is not obliged to respond and is not penalized.</w:t>
        <w:br/>
        <w:t>A clear methodology and training are needed for correct identification.</w:t>
      </w:r>
    </w:p>
    <w:p>
      <w:pPr>
        <w:pStyle w:val="HorizontalLine"/>
        <w:spacing w:before="0" w:after="0"/>
        <w:rPr>
          <w:sz w:val="24"/>
          <w:szCs w:val="24"/>
          <w:lang w:val="sq-AL"/>
        </w:rPr>
      </w:pPr>
      <w:r>
        <w:rPr>
          <w:sz w:val="24"/>
          <w:szCs w:val="24"/>
          <w:lang w:val="sq-AL"/>
        </w:rPr>
      </w:r>
    </w:p>
    <w:p>
      <w:pPr>
        <w:pStyle w:val="Heading1"/>
        <w:spacing w:before="0" w:after="283"/>
        <w:rPr>
          <w:sz w:val="24"/>
          <w:szCs w:val="24"/>
          <w:lang w:val="sq-AL"/>
        </w:rPr>
      </w:pPr>
      <w:r>
        <w:rPr>
          <w:rStyle w:val="Strong"/>
          <w:b/>
          <w:bCs/>
          <w:sz w:val="24"/>
          <w:szCs w:val="24"/>
          <w:lang w:val="sq-AL"/>
        </w:rPr>
        <w:t>V. Legislation &amp; Clarification of Legal Obligations</w:t>
      </w:r>
    </w:p>
    <w:p>
      <w:pPr>
        <w:pStyle w:val="BodyText"/>
        <w:numPr>
          <w:ilvl w:val="0"/>
          <w:numId w:val="6"/>
        </w:numPr>
        <w:tabs>
          <w:tab w:val="clear" w:pos="709"/>
          <w:tab w:val="left" w:pos="0" w:leader="none"/>
        </w:tabs>
        <w:ind w:hanging="283" w:start="709"/>
        <w:rPr>
          <w:lang w:val="sq-AL"/>
        </w:rPr>
      </w:pPr>
      <w:r>
        <w:rPr>
          <w:lang w:val="sq-AL"/>
        </w:rPr>
        <w:t>Clarification of responsibilities under the new law for providing information across all administrative institutions.</w:t>
      </w:r>
    </w:p>
    <w:p>
      <w:pPr>
        <w:pStyle w:val="BodyText"/>
        <w:numPr>
          <w:ilvl w:val="0"/>
          <w:numId w:val="6"/>
        </w:numPr>
        <w:tabs>
          <w:tab w:val="clear" w:pos="709"/>
          <w:tab w:val="left" w:pos="0" w:leader="none"/>
        </w:tabs>
        <w:ind w:hanging="283" w:start="709"/>
        <w:rPr>
          <w:lang w:val="sq-AL"/>
        </w:rPr>
      </w:pPr>
      <w:r>
        <w:rPr>
          <w:lang w:val="sq-AL"/>
        </w:rPr>
        <w:t>Expanding the entities legally obliged to provide public information (following the Slovak model).</w:t>
      </w:r>
    </w:p>
    <w:p>
      <w:pPr>
        <w:pStyle w:val="BodyText"/>
        <w:numPr>
          <w:ilvl w:val="0"/>
          <w:numId w:val="6"/>
        </w:numPr>
        <w:tabs>
          <w:tab w:val="clear" w:pos="709"/>
          <w:tab w:val="left" w:pos="0" w:leader="none"/>
        </w:tabs>
        <w:ind w:hanging="283" w:start="709"/>
        <w:rPr>
          <w:lang w:val="sq-AL"/>
        </w:rPr>
      </w:pPr>
      <w:r>
        <w:rPr>
          <w:lang w:val="sq-AL"/>
        </w:rPr>
        <w:t xml:space="preserve">Clear regulation of the </w:t>
      </w:r>
      <w:r>
        <w:rPr>
          <w:rStyle w:val="Emphasis"/>
          <w:lang w:val="sq-AL"/>
        </w:rPr>
        <w:t>Harassing Requests</w:t>
      </w:r>
      <w:r>
        <w:rPr>
          <w:lang w:val="sq-AL"/>
        </w:rPr>
        <w:t xml:space="preserve"> category and its classification methodology.</w:t>
      </w:r>
    </w:p>
    <w:p>
      <w:pPr>
        <w:pStyle w:val="BodyText"/>
        <w:numPr>
          <w:ilvl w:val="0"/>
          <w:numId w:val="6"/>
        </w:numPr>
        <w:tabs>
          <w:tab w:val="clear" w:pos="709"/>
          <w:tab w:val="left" w:pos="0" w:leader="none"/>
        </w:tabs>
        <w:ind w:hanging="283" w:start="709"/>
        <w:rPr>
          <w:lang w:val="sq-AL"/>
        </w:rPr>
      </w:pPr>
      <w:r>
        <w:rPr>
          <w:lang w:val="sq-AL"/>
        </w:rPr>
        <w:t>Need for formal and documented communication between the Commissioner and institutions.</w:t>
      </w:r>
    </w:p>
    <w:p>
      <w:pPr>
        <w:pStyle w:val="Normal"/>
        <w:bidi w:val="0"/>
        <w:jc w:val="start"/>
        <w:rPr>
          <w:lang w:val="sq-AL"/>
        </w:rPr>
      </w:pPr>
      <w:r>
        <w:rPr>
          <w:lang w:val="sq-AL"/>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OpenSymbol">
    <w:altName w:val="Arial Unicode MS"/>
    <w:charset w:val="01"/>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71"/>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character" w:styleId="Emphasis">
    <w:name w:val="Emphasis"/>
    <w:qFormat/>
    <w:rPr>
      <w:i/>
      <w:iCs/>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175</TotalTime>
  <Application>LibreOffice/25.8.2.2$Windows_X86_64 LibreOffice_project/d401f2107ccab8f924a8e2df40f573aab7605b6f</Application>
  <AppVersion>15.0000</AppVersion>
  <Pages>5</Pages>
  <Words>1862</Words>
  <Characters>10301</Characters>
  <CharactersWithSpaces>12077</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2025-11-13T14:56:58Z</dcterms:created>
  <dc:creator/>
  <dc:description/>
  <dc:language>en-US</dc:language>
  <cp:lastModifiedBy/>
  <dcterms:modified xsi:type="dcterms:W3CDTF">2025-11-18T10:00:57Z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