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media/image1.png" ContentType="image/png"/>
  <Override PartName="/word/media/image2.png" ContentType="image/png"/>
  <Override PartName="/word/media/image3.png" ContentType="image/pn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Palatino Linotype" w:hAnsi="Palatino Linotype"/>
          <w:b/>
          <w:bCs/>
          <w:color w:themeColor="accent1" w:themeShade="bf" w:val="2F5496"/>
        </w:rPr>
      </w:pPr>
      <w:r>
        <w:rPr>
          <w:rFonts w:ascii="Palatino Linotype" w:hAnsi="Palatino Linotype"/>
          <w:b/>
          <w:bCs/>
          <w:color w:themeColor="accent1" w:themeShade="bf" w:val="2F5496"/>
          <w:lang w:val="en-GB"/>
        </w:rPr>
        <w:t>KONVENTA KOMB</w:t>
      </w:r>
      <w:r>
        <w:rPr>
          <w:rFonts w:ascii="Palatino Linotype" w:hAnsi="Palatino Linotype"/>
          <w:b/>
          <w:bCs/>
          <w:color w:themeColor="accent1" w:themeShade="bf" w:val="2F5496"/>
        </w:rPr>
        <w:t>ËTARE PËR INTEGRIMIN EUROPIAN</w:t>
      </w:r>
    </w:p>
    <w:p>
      <w:pPr>
        <w:pStyle w:val="Normal"/>
        <w:jc w:val="center"/>
        <w:rPr>
          <w:rFonts w:ascii="Palatino Linotype" w:hAnsi="Palatino Linotype"/>
          <w:b/>
          <w:bCs/>
          <w:color w:themeColor="accent1" w:themeShade="bf" w:val="2F5496"/>
          <w:lang w:val="en-GB"/>
        </w:rPr>
      </w:pPr>
      <w:r>
        <w:rPr>
          <w:rFonts w:ascii="Palatino Linotype" w:hAnsi="Palatino Linotype"/>
          <w:b/>
          <w:bCs/>
          <w:color w:themeColor="accent1" w:themeShade="bf" w:val="2F5496"/>
          <w:lang w:val="en-GB"/>
        </w:rPr>
        <w:t xml:space="preserve">Grupi i Punës për Kapitullin 23: Gjyqësori dhe të Drejtat Themelore </w:t>
      </w:r>
    </w:p>
    <w:p>
      <w:pPr>
        <w:pStyle w:val="Normal"/>
        <w:jc w:val="center"/>
        <w:rPr>
          <w:rFonts w:ascii="Palatino Linotype" w:hAnsi="Palatino Linotype"/>
          <w:b/>
          <w:bCs/>
          <w:color w:themeColor="accent1" w:themeShade="bf" w:val="2F5496"/>
          <w:lang w:val="en-GB"/>
        </w:rPr>
      </w:pPr>
      <w:r>
        <w:rPr>
          <w:rFonts w:ascii="Palatino Linotype" w:hAnsi="Palatino Linotype"/>
          <w:color w:themeColor="accent1" w:themeShade="bf" w:val="2F5496"/>
          <w:lang w:val="en-GB"/>
        </w:rPr>
        <w:br/>
      </w:r>
      <w:r>
        <w:rPr>
          <w:rFonts w:ascii="Palatino Linotype" w:hAnsi="Palatino Linotype"/>
          <w:b/>
          <w:bCs/>
          <w:color w:themeColor="accent1" w:themeShade="bf" w:val="2F5496"/>
          <w:lang w:val="en-GB"/>
        </w:rPr>
        <w:t>Zbatimi i Ligjit të Ri për Mbrojtjen e të Dhënave Personale në Kontekstin e negociatave për Kapitullin 23: Dialog me Shoqërinë Civile dhe Sektorin Privat</w:t>
      </w:r>
    </w:p>
    <w:p>
      <w:pPr>
        <w:pStyle w:val="Normal"/>
        <w:jc w:val="center"/>
        <w:rPr>
          <w:rFonts w:ascii="Palatino Linotype" w:hAnsi="Palatino Linotype"/>
          <w:b/>
          <w:bCs/>
          <w:color w:themeColor="accent1" w:themeShade="bf" w:val="2F5496"/>
          <w:lang w:val="en-GB"/>
        </w:rPr>
      </w:pPr>
      <w:r>
        <w:rPr>
          <w:rFonts w:ascii="Palatino Linotype" w:hAnsi="Palatino Linotype"/>
          <w:b/>
          <w:bCs/>
          <w:color w:themeColor="accent1" w:themeShade="bf" w:val="2F5496"/>
          <w:lang w:val="en-GB"/>
        </w:rPr>
        <w:t>15 korrik 2025, Tiranë</w:t>
      </w:r>
    </w:p>
    <w:p>
      <w:pPr>
        <w:pStyle w:val="Normal"/>
        <w:jc w:val="center"/>
        <w:rPr>
          <w:rFonts w:ascii="Palatino Linotype" w:hAnsi="Palatino Linotype"/>
          <w:b/>
          <w:bCs/>
          <w:color w:themeColor="accent1" w:themeShade="bf" w:val="2F5496"/>
          <w:u w:val="single"/>
          <w:lang w:val="en-GB"/>
        </w:rPr>
      </w:pPr>
      <w:r>
        <w:rPr>
          <w:rFonts w:ascii="Palatino Linotype" w:hAnsi="Palatino Linotype"/>
          <w:b/>
          <w:bCs/>
          <w:color w:themeColor="accent1" w:themeShade="bf" w:val="2F5496"/>
          <w:u w:val="single"/>
          <w:lang w:val="en-GB"/>
        </w:rPr>
        <w:t>REKOMANDIME</w:t>
      </w:r>
    </w:p>
    <w:p>
      <w:pPr>
        <w:pStyle w:val="Normal"/>
        <w:rPr>
          <w:color w:val="000000"/>
        </w:rPr>
      </w:pPr>
      <w:r>
        <w:rPr>
          <w:rFonts w:ascii="Palatino Linotype" w:hAnsi="Palatino Linotype"/>
          <w:b/>
          <w:bCs/>
          <w:color w:val="000000"/>
          <w:u w:val="single"/>
          <w:lang w:val="en-GB"/>
        </w:rPr>
        <w:t>Në lidhje me kuadrin ligjor për Mbrojtjen e të Dhënave Personale</w:t>
      </w:r>
    </w:p>
    <w:p>
      <w:pPr>
        <w:pStyle w:val="ListParagraph"/>
        <w:numPr>
          <w:ilvl w:val="0"/>
          <w:numId w:val="2"/>
        </w:numPr>
        <w:jc w:val="both"/>
        <w:rPr>
          <w:color w:val="000000"/>
        </w:rPr>
      </w:pPr>
      <w:r>
        <w:rPr>
          <w:rFonts w:ascii="Palatino Linotype" w:hAnsi="Palatino Linotype"/>
          <w:color w:val="000000"/>
          <w:lang w:val="en-GB"/>
        </w:rPr>
        <w:t>Shqipëria ka bërë hapa të rëndësishëm përpara me miratimin e ligjit të ri, i cili është përafruar plotësisht me standardet e BE-së dhe GDPR. Megjithatë, duke qenë se Shqipëria nuk është ende në listën e vendeve që kanë marrë vendimin e përshtatshmërisë nga BE, mbetet e rëndësishme që:</w:t>
      </w:r>
    </w:p>
    <w:p>
      <w:pPr>
        <w:pStyle w:val="ListParagraph"/>
        <w:numPr>
          <w:ilvl w:val="0"/>
          <w:numId w:val="2"/>
        </w:numPr>
        <w:jc w:val="both"/>
        <w:rPr>
          <w:color w:val="000000"/>
        </w:rPr>
      </w:pPr>
      <w:r>
        <w:rPr>
          <w:rFonts w:ascii="Palatino Linotype" w:hAnsi="Palatino Linotype"/>
          <w:color w:val="000000"/>
          <w:lang w:val="en-GB"/>
        </w:rPr>
        <w:t>Kuadri ligjor të jetë gjithmonë i përditësuar me zhvillimet dhe risitë në këtë fushë;</w:t>
      </w:r>
    </w:p>
    <w:p>
      <w:pPr>
        <w:pStyle w:val="ListParagraph"/>
        <w:numPr>
          <w:ilvl w:val="0"/>
          <w:numId w:val="2"/>
        </w:numPr>
        <w:jc w:val="both"/>
        <w:rPr>
          <w:color w:val="000000"/>
        </w:rPr>
      </w:pPr>
      <w:r>
        <w:rPr>
          <w:rFonts w:ascii="Palatino Linotype" w:hAnsi="Palatino Linotype"/>
          <w:color w:val="000000"/>
          <w:lang w:val="en-GB"/>
        </w:rPr>
        <w:t>Të garantohet zbatimi efektiv i ligjit dhe akteve nënligjore;</w:t>
      </w:r>
    </w:p>
    <w:p>
      <w:pPr>
        <w:pStyle w:val="ListParagraph"/>
        <w:numPr>
          <w:ilvl w:val="0"/>
          <w:numId w:val="2"/>
        </w:numPr>
        <w:jc w:val="both"/>
        <w:rPr>
          <w:color w:val="000000"/>
        </w:rPr>
      </w:pPr>
      <w:r>
        <w:rPr>
          <w:rFonts w:ascii="Palatino Linotype" w:hAnsi="Palatino Linotype"/>
          <w:color w:val="000000"/>
          <w:lang w:val="en-GB"/>
        </w:rPr>
        <w:t>Të sigurohet mbrojtje e plotë e të dhënave personale;</w:t>
      </w:r>
    </w:p>
    <w:p>
      <w:pPr>
        <w:pStyle w:val="ListParagraph"/>
        <w:numPr>
          <w:ilvl w:val="0"/>
          <w:numId w:val="2"/>
        </w:numPr>
        <w:jc w:val="both"/>
        <w:rPr>
          <w:color w:val="000000"/>
        </w:rPr>
      </w:pPr>
      <w:r>
        <w:rPr>
          <w:rFonts w:ascii="Palatino Linotype" w:hAnsi="Palatino Linotype"/>
          <w:color w:val="000000"/>
          <w:lang w:val="en-GB"/>
        </w:rPr>
        <w:t>Të ndërtohet një mbikëqyrje efektive dhe funksionale.</w:t>
      </w:r>
    </w:p>
    <w:p>
      <w:pPr>
        <w:pStyle w:val="ListParagraph"/>
        <w:jc w:val="both"/>
        <w:rPr>
          <w:rFonts w:ascii="Palatino Linotype" w:hAnsi="Palatino Linotype"/>
          <w:lang w:val="en-GB"/>
        </w:rPr>
      </w:pPr>
      <w:r>
        <w:rPr>
          <w:rFonts w:ascii="Palatino Linotype" w:hAnsi="Palatino Linotype"/>
          <w:lang w:val="en-GB"/>
        </w:rPr>
      </w:r>
    </w:p>
    <w:p>
      <w:pPr>
        <w:pStyle w:val="ListParagraph"/>
        <w:numPr>
          <w:ilvl w:val="0"/>
          <w:numId w:val="1"/>
        </w:numPr>
        <w:ind w:hanging="360" w:start="180"/>
        <w:jc w:val="both"/>
        <w:rPr>
          <w:rFonts w:ascii="Palatino Linotype" w:hAnsi="Palatino Linotype"/>
          <w:lang w:val="en-GB"/>
        </w:rPr>
      </w:pPr>
      <w:r>
        <w:rPr>
          <w:rFonts w:ascii="Palatino Linotype" w:hAnsi="Palatino Linotype"/>
          <w:lang w:val="en-GB"/>
        </w:rPr>
        <w:t>Në hartimin dhe zbatimin e kuadrit ligjor për mbrojtjen e të dhënave personale, duhet të merren në konsideratë si kërkesat dhe rekomandimet nga Bashkimi Europian në kuadër të procesit të negociatave dhe anëtarësimit në BE, përafrimi me standardet e GDPR, por edhe zhvillimet më të fundit në teknologji, ekonomi, shkencë apo siguri, për ta bërë zbatimin e ligjit sa më efektiv, të përditësuar dhe mbi të gjitha gjithëpërfshirës.</w:t>
      </w:r>
    </w:p>
    <w:p>
      <w:pPr>
        <w:pStyle w:val="ListParagraph"/>
        <w:numPr>
          <w:ilvl w:val="0"/>
          <w:numId w:val="0"/>
        </w:numPr>
        <w:ind w:hanging="0" w:start="180"/>
        <w:jc w:val="both"/>
        <w:rPr>
          <w:rFonts w:ascii="Palatino Linotype" w:hAnsi="Palatino Linotype"/>
          <w:lang w:val="en-GB"/>
        </w:rPr>
      </w:pPr>
      <w:r>
        <w:rPr/>
      </w:r>
    </w:p>
    <w:p>
      <w:pPr>
        <w:pStyle w:val="Normal"/>
        <w:jc w:val="both"/>
        <w:rPr>
          <w:rFonts w:ascii="Palatino Linotype" w:hAnsi="Palatino Linotype"/>
          <w:lang w:val="en-GB"/>
        </w:rPr>
      </w:pPr>
      <w:r>
        <w:rPr>
          <w:rFonts w:ascii="Palatino Linotype" w:hAnsi="Palatino Linotype"/>
          <w:b/>
          <w:bCs/>
          <w:u w:val="single"/>
          <w:lang w:val="en-GB"/>
        </w:rPr>
        <w:t>Në lidhje me zbatimin e ligjit dhe kapacitetet institucionale</w:t>
      </w:r>
    </w:p>
    <w:p>
      <w:pPr>
        <w:pStyle w:val="ListParagraph"/>
        <w:numPr>
          <w:ilvl w:val="0"/>
          <w:numId w:val="3"/>
        </w:numPr>
        <w:ind w:hanging="360" w:start="180"/>
        <w:jc w:val="both"/>
        <w:rPr>
          <w:rFonts w:ascii="Palatino Linotype" w:hAnsi="Palatino Linotype"/>
          <w:b/>
          <w:bCs/>
          <w:u w:val="single"/>
          <w:lang w:val="en-GB"/>
        </w:rPr>
      </w:pPr>
      <w:r>
        <w:rPr>
          <w:rFonts w:ascii="Palatino Linotype" w:hAnsi="Palatino Linotype"/>
          <w:lang w:val="en-GB"/>
        </w:rPr>
        <w:t>Me ligjin e ri të miratuar dhe me punën në vazhdim për miratimin e akteve nënligjore, vlerësohet me rëndësi nevoja për: 1) rritje të kapaciteteve të stafit të Komisionerit nëpërmjet trajnimeve dhe 2) miratimin e një buxheti të dedikuar këtij komponenti.</w:t>
      </w:r>
    </w:p>
    <w:p>
      <w:pPr>
        <w:pStyle w:val="ListParagraph"/>
        <w:jc w:val="both"/>
        <w:rPr>
          <w:rFonts w:ascii="Palatino Linotype" w:hAnsi="Palatino Linotype"/>
          <w:b/>
          <w:bCs/>
          <w:u w:val="single"/>
          <w:lang w:val="en-GB"/>
        </w:rPr>
      </w:pPr>
      <w:r>
        <w:rPr>
          <w:rFonts w:ascii="Palatino Linotype" w:hAnsi="Palatino Linotype"/>
          <w:b/>
          <w:bCs/>
          <w:u w:val="single"/>
          <w:lang w:val="en-GB"/>
        </w:rPr>
      </w:r>
    </w:p>
    <w:p>
      <w:pPr>
        <w:pStyle w:val="Normal"/>
        <w:numPr>
          <w:ilvl w:val="0"/>
          <w:numId w:val="3"/>
        </w:numPr>
        <w:ind w:hanging="360" w:start="0"/>
        <w:jc w:val="both"/>
        <w:rPr>
          <w:rFonts w:ascii="Palatino Linotype" w:hAnsi="Palatino Linotype"/>
          <w:b/>
          <w:bCs/>
          <w:u w:val="single"/>
          <w:lang w:val="en-GB"/>
        </w:rPr>
      </w:pPr>
      <w:r>
        <w:rPr>
          <w:rFonts w:ascii="Palatino Linotype" w:hAnsi="Palatino Linotype"/>
          <w:color w:val="000000"/>
          <w:lang w:val="en-GB"/>
        </w:rPr>
        <w:t>Bazuar edhe në eksperiencën sllovake me hyrjen në fuqi të GDPR, mungesa e udhëzimeve interpretative dhe orientimeve praktike nga ana e institucioneve publike ndaj grupeve të interesit solli pasiguri dhe paqartësi në zbatimin e tij, duke çuar në shkelje të të drejtave dhe standardeve, si dhe në vendosjen e gjobave dhe sanksioneve të cilat shpesh kontestoheshin në gjykata si të tepërta ose të zbatuara gabimisht. Kjo ndodhi sepse, ndërkohë që institucionet u</w:t>
      </w:r>
      <w:r>
        <w:rPr>
          <w:rFonts w:ascii="Palatino Linotype" w:hAnsi="Palatino Linotype"/>
          <w:color w:val="EE0000"/>
          <w:lang w:val="en-GB"/>
        </w:rPr>
        <w:t xml:space="preserve"> </w:t>
      </w:r>
      <w:r>
        <w:rPr>
          <w:rFonts w:ascii="Palatino Linotype" w:hAnsi="Palatino Linotype"/>
          <w:color w:val="000000"/>
          <w:lang w:val="en-GB"/>
        </w:rPr>
        <w:t>përqendruan në një fushatë kontrolli dhe monitorimi, lanë mënjanë procesin e informimit, udhëzimit dhe interpretimit të qartë të ligjit, që do ta bënte më të lehtë dhe më të unifikuar zbatimin e tij nga operatorët dhe kontrolluesit. Në kontekstin shqiptar, vlerësohet pozitivisht miratimi i akteve nënligjore dhe udhëzimeve detyruese nga Komisioneri, ndërkohë që po vijon puna për përgatitjen e udhëzuesve sektorialë me natyrë orientuese dhe sqaruese. Për këtë rekomandohet që, krahas këtyre përpjekjeve, të vihet një theks i veçantë në forcimin e burimeve njerëzore dhe financiare të Komisionerit, si dhe zhvillimin e fushatave të gjera ndërgjegjësuese, të cilat mbeten një domosdoshmëri për zbatimin efektiv dhe të harmonizuar të ligjit.</w:t>
      </w:r>
    </w:p>
    <w:p>
      <w:pPr>
        <w:pStyle w:val="ListParagraph"/>
        <w:jc w:val="both"/>
        <w:rPr>
          <w:rFonts w:ascii="Palatino Linotype" w:hAnsi="Palatino Linotype"/>
          <w:color w:val="000000"/>
          <w:lang w:val="en-GB"/>
        </w:rPr>
      </w:pPr>
      <w:r>
        <w:rPr>
          <w:rFonts w:ascii="Palatino Linotype" w:hAnsi="Palatino Linotype"/>
          <w:color w:val="000000"/>
          <w:lang w:val="en-GB"/>
        </w:rPr>
      </w:r>
    </w:p>
    <w:p>
      <w:pPr>
        <w:pStyle w:val="ListParagraph"/>
        <w:numPr>
          <w:ilvl w:val="0"/>
          <w:numId w:val="3"/>
        </w:numPr>
        <w:ind w:hanging="360" w:start="180"/>
        <w:jc w:val="both"/>
        <w:rPr>
          <w:rFonts w:ascii="Palatino Linotype" w:hAnsi="Palatino Linotype"/>
          <w:b/>
          <w:bCs/>
          <w:u w:val="single"/>
          <w:lang w:val="en-GB"/>
        </w:rPr>
      </w:pPr>
      <w:r>
        <w:rPr>
          <w:rFonts w:ascii="Palatino Linotype" w:hAnsi="Palatino Linotype"/>
          <w:lang w:val="en-GB"/>
        </w:rPr>
        <w:t>Fusha e mbrojtjes së të dhënave personale, sidomos me zhvillimet shumë të shpejta teknologjike, nuk mund të kufizohet vetëm në një çështje ligjore. Ajo gjithmonë e më shumë është e kombinuar edhe me çështjet e teknologjisë, open data, inteligjencës artificiale apo sigurisë kibernetike. Në këtë kontekst, për një aplikim efektiv të legjislacionit, është e rëndësishme që këto dy fusha të ndërlidhen dhe të kuptohen bashkërisht. Sfida është në gjetjen e ekspertizës vendase që kanë të kombinuara njohuritë teknologjike me ato ligjore të të drejtave të njeriut. Për këtë rekomandohet që të punohet më shumë në formimin e ekspertëve që kanë njohuri në këto dy domain.</w:t>
      </w:r>
    </w:p>
    <w:p>
      <w:pPr>
        <w:pStyle w:val="ListParagraph"/>
        <w:jc w:val="both"/>
        <w:rPr>
          <w:rFonts w:ascii="Palatino Linotype" w:hAnsi="Palatino Linotype"/>
          <w:lang w:val="en-GB"/>
        </w:rPr>
      </w:pPr>
      <w:r>
        <w:rPr>
          <w:rFonts w:ascii="Palatino Linotype" w:hAnsi="Palatino Linotype"/>
          <w:lang w:val="en-GB"/>
        </w:rPr>
      </w:r>
    </w:p>
    <w:p>
      <w:pPr>
        <w:pStyle w:val="ListParagraph"/>
        <w:numPr>
          <w:ilvl w:val="0"/>
          <w:numId w:val="3"/>
        </w:numPr>
        <w:ind w:hanging="360" w:start="180"/>
        <w:jc w:val="both"/>
        <w:rPr>
          <w:rFonts w:ascii="Palatino Linotype" w:hAnsi="Palatino Linotype"/>
          <w:b/>
          <w:bCs/>
          <w:u w:val="single"/>
          <w:lang w:val="en-GB"/>
        </w:rPr>
      </w:pPr>
      <w:r>
        <w:rPr>
          <w:rFonts w:ascii="Palatino Linotype" w:hAnsi="Palatino Linotype"/>
          <w:lang w:val="en-GB"/>
        </w:rPr>
        <w:t>Fuqizimi dhe rritja e njohurive dixhitale për të gjithë stafin e institucioneve përgjegjëse, si tek institucionet në nivel qendror ashtu dhe në atë lokal. Kjo do të lehtësonte procesin e mbledhjes, procesimit dhe mbrojtjes së të dhënave, falë njohurive teknologjike dhe uljes së mundësisë për gabime apo shkelje për shkak të tyre.</w:t>
      </w:r>
    </w:p>
    <w:p>
      <w:pPr>
        <w:pStyle w:val="ListParagraph"/>
        <w:jc w:val="both"/>
        <w:rPr>
          <w:rFonts w:ascii="Palatino Linotype" w:hAnsi="Palatino Linotype"/>
          <w:lang w:val="en-GB"/>
        </w:rPr>
      </w:pPr>
      <w:r>
        <w:rPr>
          <w:rFonts w:ascii="Palatino Linotype" w:hAnsi="Palatino Linotype"/>
          <w:lang w:val="en-GB"/>
        </w:rPr>
      </w:r>
    </w:p>
    <w:p>
      <w:pPr>
        <w:pStyle w:val="ListParagraph"/>
        <w:numPr>
          <w:ilvl w:val="0"/>
          <w:numId w:val="3"/>
        </w:numPr>
        <w:ind w:hanging="360" w:start="180"/>
        <w:jc w:val="both"/>
        <w:rPr>
          <w:rFonts w:ascii="Palatino Linotype" w:hAnsi="Palatino Linotype"/>
          <w:b/>
          <w:bCs/>
          <w:u w:val="single"/>
          <w:lang w:val="en-GB"/>
        </w:rPr>
      </w:pPr>
      <w:r>
        <w:rPr>
          <w:rFonts w:ascii="Palatino Linotype" w:hAnsi="Palatino Linotype"/>
          <w:lang w:val="en-GB"/>
        </w:rPr>
        <w:t>Me rëndësi është edhe analiza e kostos financiare që zbatimi i ligjit të ri do të ketë, si për institucionet publike (lokale dhe qendrore), ashtu edhe për aktorët e tjerë, duke qenë se kjo do të rrisë nevojën për rritje kapacitetesh, buxhet të dedikuar, infrastrukturë teknologjike apo rritje të burimeve njerëzore, trajnimeve etj. Në këtë mënyrë, periudha e tranzicionit për zbatimin e duhur të ligjit do të realizohet në mënyrë më të thjeshtë dhe pa shumë elemente të paparashikuara. Për realizimin e trajnimeve dhe rritjes së kapaciteteve, sugjerohet edhe koordinimi dhe bashkëpunimi mes institucioneve publike dhe aktorëve jo-shtetërorë.</w:t>
      </w:r>
    </w:p>
    <w:p>
      <w:pPr>
        <w:pStyle w:val="ListParagraph"/>
        <w:rPr>
          <w:rFonts w:ascii="Palatino Linotype" w:hAnsi="Palatino Linotype"/>
          <w:b/>
          <w:bCs/>
          <w:u w:val="single"/>
          <w:lang w:val="en-GB"/>
        </w:rPr>
      </w:pPr>
      <w:r>
        <w:rPr>
          <w:rFonts w:ascii="Palatino Linotype" w:hAnsi="Palatino Linotype"/>
          <w:b/>
          <w:bCs/>
          <w:u w:val="single"/>
          <w:lang w:val="en-GB"/>
        </w:rPr>
      </w:r>
    </w:p>
    <w:p>
      <w:pPr>
        <w:pStyle w:val="ListParagraph"/>
        <w:jc w:val="both"/>
        <w:rPr>
          <w:rFonts w:ascii="Palatino Linotype" w:hAnsi="Palatino Linotype"/>
          <w:b/>
          <w:bCs/>
          <w:u w:val="single"/>
          <w:lang w:val="en-GB"/>
        </w:rPr>
      </w:pPr>
      <w:r>
        <w:rPr>
          <w:rFonts w:ascii="Palatino Linotype" w:hAnsi="Palatino Linotype"/>
          <w:b/>
          <w:bCs/>
          <w:u w:val="single"/>
          <w:lang w:val="en-GB"/>
        </w:rPr>
      </w:r>
    </w:p>
    <w:p>
      <w:pPr>
        <w:pStyle w:val="Normal"/>
        <w:rPr>
          <w:rFonts w:ascii="Palatino Linotype" w:hAnsi="Palatino Linotype"/>
          <w:b/>
          <w:bCs/>
          <w:u w:val="single"/>
          <w:lang w:val="en-GB"/>
        </w:rPr>
      </w:pPr>
      <w:r>
        <w:rPr>
          <w:rFonts w:ascii="Palatino Linotype" w:hAnsi="Palatino Linotype"/>
          <w:b/>
          <w:bCs/>
          <w:u w:val="single"/>
          <w:lang w:val="en-GB"/>
        </w:rPr>
        <w:t>Në lidhje me bashkëpunimin me aktorët jo-shtetërorë dhe përfshirjen e tyre</w:t>
      </w:r>
    </w:p>
    <w:p>
      <w:pPr>
        <w:pStyle w:val="ListParagraph"/>
        <w:numPr>
          <w:ilvl w:val="0"/>
          <w:numId w:val="4"/>
        </w:numPr>
        <w:ind w:hanging="360" w:start="180"/>
        <w:jc w:val="both"/>
        <w:rPr>
          <w:rFonts w:ascii="Palatino Linotype" w:hAnsi="Palatino Linotype"/>
          <w:lang w:val="en-GB"/>
        </w:rPr>
      </w:pPr>
      <w:r>
        <w:rPr>
          <w:rFonts w:ascii="Palatino Linotype" w:hAnsi="Palatino Linotype"/>
          <w:lang w:val="en-GB"/>
        </w:rPr>
        <w:t>Ndërgjegjësimi për aktorët jo-shtetërorë, kontrolluesit dhe operatorët, organizatat e shoqërisë civile apo qytetarët për mbrojtjen e të dhënave personale konsiderohet ende në nivel të ulët, dhe ka nevojë ende për t’u fuqizuar dhe diversifikuar. Sugjerohet që ky proces të shkojë në tre hapa: Ndërgjegjësim – Trajnim – Zbatim.</w:t>
      </w:r>
    </w:p>
    <w:p>
      <w:pPr>
        <w:pStyle w:val="ListParagraph"/>
        <w:jc w:val="both"/>
        <w:rPr>
          <w:rFonts w:ascii="Palatino Linotype" w:hAnsi="Palatino Linotype"/>
          <w:lang w:val="en-GB"/>
        </w:rPr>
      </w:pPr>
      <w:r>
        <w:rPr>
          <w:rFonts w:ascii="Palatino Linotype" w:hAnsi="Palatino Linotype"/>
          <w:lang w:val="en-GB"/>
        </w:rPr>
      </w:r>
    </w:p>
    <w:p>
      <w:pPr>
        <w:pStyle w:val="ListParagraph"/>
        <w:numPr>
          <w:ilvl w:val="0"/>
          <w:numId w:val="5"/>
        </w:numPr>
        <w:tabs>
          <w:tab w:val="clear" w:pos="720"/>
          <w:tab w:val="left" w:pos="1170" w:leader="none"/>
        </w:tabs>
        <w:jc w:val="both"/>
        <w:rPr>
          <w:rFonts w:ascii="Palatino Linotype" w:hAnsi="Palatino Linotype"/>
          <w:lang w:val="en-GB"/>
        </w:rPr>
      </w:pPr>
      <w:r>
        <w:rPr>
          <w:rFonts w:ascii="Palatino Linotype" w:hAnsi="Palatino Linotype"/>
          <w:lang w:val="en-GB"/>
        </w:rPr>
        <w:t>Ndërgjegjësimi i të gjithë aktorëve, i cili mund të realizohet në forma dhe mënyra të ndryshme (publikime, takime dhe sesione informimi, përdorimi i medias tradicionale dhe asaj dixhitale etj.)</w:t>
      </w:r>
    </w:p>
    <w:p>
      <w:pPr>
        <w:pStyle w:val="ListParagraph"/>
        <w:numPr>
          <w:ilvl w:val="0"/>
          <w:numId w:val="5"/>
        </w:numPr>
        <w:jc w:val="both"/>
        <w:rPr>
          <w:rFonts w:ascii="Palatino Linotype" w:hAnsi="Palatino Linotype"/>
          <w:lang w:val="en-GB"/>
        </w:rPr>
      </w:pPr>
      <w:r>
        <w:rPr>
          <w:rFonts w:ascii="Palatino Linotype" w:hAnsi="Palatino Linotype"/>
          <w:lang w:val="en-GB"/>
        </w:rPr>
        <w:t>Trajnimi i targetuar dhe specifik për aktorët e caktuar dhe fushat më të rëndësishme. Këto trajnime mund të zhvillohen në bashkëpunim me ekspertë nga shoqëria civile dhe sektori i biznesit.</w:t>
      </w:r>
    </w:p>
    <w:p>
      <w:pPr>
        <w:pStyle w:val="ListParagraph"/>
        <w:numPr>
          <w:ilvl w:val="0"/>
          <w:numId w:val="5"/>
        </w:numPr>
        <w:jc w:val="both"/>
        <w:rPr>
          <w:rFonts w:ascii="Palatino Linotype" w:hAnsi="Palatino Linotype"/>
          <w:lang w:val="en-GB"/>
        </w:rPr>
      </w:pPr>
      <w:r>
        <w:rPr>
          <w:rFonts w:ascii="Palatino Linotype" w:hAnsi="Palatino Linotype"/>
          <w:lang w:val="en-GB"/>
        </w:rPr>
        <w:t>Zbatimi – nëse arrihen dy hallkat e para, atëherë edhe zbatimi i ligjit nga të gjitha palët e interesuara do të jetë më i saktë dhe efektiv.</w:t>
      </w:r>
    </w:p>
    <w:p>
      <w:pPr>
        <w:pStyle w:val="ListParagraph"/>
        <w:jc w:val="both"/>
        <w:rPr>
          <w:rFonts w:ascii="Palatino Linotype" w:hAnsi="Palatino Linotype"/>
          <w:lang w:val="en-GB"/>
        </w:rPr>
      </w:pPr>
      <w:r>
        <w:rPr>
          <w:rFonts w:ascii="Palatino Linotype" w:hAnsi="Palatino Linotype"/>
          <w:lang w:val="en-GB"/>
        </w:rPr>
      </w:r>
    </w:p>
    <w:p>
      <w:pPr>
        <w:pStyle w:val="ListParagraph"/>
        <w:numPr>
          <w:ilvl w:val="0"/>
          <w:numId w:val="4"/>
        </w:numPr>
        <w:ind w:hanging="360" w:start="180"/>
        <w:jc w:val="both"/>
        <w:rPr>
          <w:rFonts w:ascii="Palatino Linotype" w:hAnsi="Palatino Linotype"/>
          <w:lang w:val="en-GB"/>
        </w:rPr>
      </w:pPr>
      <w:r>
        <w:rPr>
          <w:rFonts w:ascii="Palatino Linotype" w:hAnsi="Palatino Linotype"/>
          <w:lang w:val="en-GB"/>
        </w:rPr>
        <w:t>Duke qenë se ligji i ri për Mbrojtjen e të Dhënave Personale sjell disa risi dhe prezanton të drejta të reja, si e Drejta për t’u Harruar apo e Drejta për Transferueshmërinë e të Dhënave, rekomandohet zhvillimi i aktiviteteve/sesioneve informuese për grupet e interesit përgjegjëse, por edhe për ato grupe që preken nga këto ndryshime e risi. Në këtë mënyrë do të realizohet: 1) informimi i grupeve të interesit për këto të drejta dhe 2) bëhet i qartë roli, përgjegjësitë dhe të drejtat që kanë si palët e prekura, ashtu edhe kontrolluesit apo aktorët e tjerë për t’i garantuar ato.</w:t>
      </w:r>
    </w:p>
    <w:p>
      <w:pPr>
        <w:pStyle w:val="ListParagraph"/>
        <w:jc w:val="both"/>
        <w:rPr>
          <w:rFonts w:ascii="Palatino Linotype" w:hAnsi="Palatino Linotype"/>
          <w:lang w:val="en-GB"/>
        </w:rPr>
      </w:pPr>
      <w:r>
        <w:rPr>
          <w:rFonts w:ascii="Palatino Linotype" w:hAnsi="Palatino Linotype"/>
          <w:lang w:val="en-GB"/>
        </w:rPr>
      </w:r>
    </w:p>
    <w:p>
      <w:pPr>
        <w:pStyle w:val="ListParagraph"/>
        <w:numPr>
          <w:ilvl w:val="0"/>
          <w:numId w:val="4"/>
        </w:numPr>
        <w:ind w:hanging="360" w:start="180"/>
        <w:jc w:val="both"/>
        <w:rPr>
          <w:rFonts w:ascii="Palatino Linotype" w:hAnsi="Palatino Linotype"/>
          <w:lang w:val="en-GB"/>
        </w:rPr>
      </w:pPr>
      <w:r>
        <w:rPr>
          <w:rFonts w:ascii="Palatino Linotype" w:hAnsi="Palatino Linotype"/>
          <w:lang w:val="en-GB"/>
        </w:rPr>
        <w:t>Një fushatë e dedikuar ndërgjegjësimi dhe informimi duhet të realizohet edhe me ata sektorë dhe operatorë që mbledhin dhe përpunojnë të dhëna personale sensitive, si të dhënat gjenetike, biometrike, orientimi seksual apo të tjera, të cilat duhet të trajtohen me kujdes të veçantë dhe duhet të kenë një mbikëqyrje të lartë sigurie.</w:t>
      </w:r>
    </w:p>
    <w:p>
      <w:pPr>
        <w:pStyle w:val="ListParagraph"/>
        <w:jc w:val="both"/>
        <w:rPr>
          <w:rFonts w:ascii="Palatino Linotype" w:hAnsi="Palatino Linotype"/>
          <w:lang w:val="en-GB"/>
        </w:rPr>
      </w:pPr>
      <w:r>
        <w:rPr>
          <w:rFonts w:ascii="Palatino Linotype" w:hAnsi="Palatino Linotype"/>
          <w:lang w:val="en-GB"/>
        </w:rPr>
      </w:r>
    </w:p>
    <w:p>
      <w:pPr>
        <w:pStyle w:val="ListParagraph"/>
        <w:numPr>
          <w:ilvl w:val="0"/>
          <w:numId w:val="4"/>
        </w:numPr>
        <w:ind w:hanging="360" w:start="180"/>
        <w:jc w:val="both"/>
        <w:rPr>
          <w:rFonts w:ascii="Palatino Linotype" w:hAnsi="Palatino Linotype"/>
          <w:lang w:val="en-GB"/>
        </w:rPr>
      </w:pPr>
      <w:r>
        <w:rPr>
          <w:rFonts w:ascii="Palatino Linotype" w:hAnsi="Palatino Linotype"/>
          <w:lang w:val="en-GB"/>
        </w:rPr>
        <w:t>Sugjerohet një formë më e lartë e bashkëpunimit dhe koordinimit edhe me mediat tradicionale dhe ato online, për dy qëllime kryesore: 1) për të rritur informimin dhe ndërgjegjësimin dhe 2) për të rritur kapacitetet dhe informimin e vet operatorëve të medias, të cilët janë një aktor i rëndësishëm që duhet të garantojë mbrojtjen e të dhënave personale. Një bashkëpunim më i madh sugjerohet që Komisioneri ta ketë edhe me Agjencinë për Median Audiovizive, si në monitorimin e përmbajtjes së raportuar në media, ashtu edhe në mundësinë për realizimin e trajnimeve dhe sesioneve informuese.</w:t>
      </w:r>
    </w:p>
    <w:p>
      <w:pPr>
        <w:pStyle w:val="ListParagraph"/>
        <w:numPr>
          <w:ilvl w:val="0"/>
          <w:numId w:val="0"/>
        </w:numPr>
        <w:ind w:hanging="0" w:start="180"/>
        <w:jc w:val="both"/>
        <w:rPr>
          <w:rFonts w:ascii="Palatino Linotype" w:hAnsi="Palatino Linotype"/>
          <w:lang w:val="en-GB"/>
        </w:rPr>
      </w:pPr>
      <w:r>
        <w:rPr>
          <w:rFonts w:ascii="Palatino Linotype" w:hAnsi="Palatino Linotype"/>
          <w:lang w:val="en-GB"/>
        </w:rPr>
      </w:r>
    </w:p>
    <w:p>
      <w:pPr>
        <w:pStyle w:val="ListParagraph"/>
        <w:numPr>
          <w:ilvl w:val="0"/>
          <w:numId w:val="4"/>
        </w:numPr>
        <w:ind w:hanging="360" w:start="180"/>
        <w:jc w:val="both"/>
        <w:rPr>
          <w:lang w:val="en-GB"/>
        </w:rPr>
      </w:pPr>
      <w:r>
        <w:rPr>
          <w:rFonts w:ascii="Palatino Linotype" w:hAnsi="Palatino Linotype"/>
          <w:color w:val="000000"/>
          <w:lang w:val="en-GB"/>
        </w:rPr>
        <w:t>Rekomandohet që të gjithë operatorët dhe aktorët, qofshin aktorë të shoqërisë civile, biznesi dhe sektori privat, media apo aktorë të tjerë që në punën e tyre të përditshme mbledhin dhe procesojnë të dhëna personale, të hartojnë dhe miratojnë atë që njihet si Kodi i Sjelljes për mbrojtjen e të dhënave personale, në përputhje me nenin 35 të Ligjit nr. 124/2024 “Për mbrojtjen e të dhënave personale”. Ky Kod, ndonëse nuk është i detyrueshëm, është një instrument i rëndësishëm që hyn</w:t>
      </w:r>
      <w:r>
        <w:rPr>
          <w:color w:val="EE0000"/>
          <w:lang w:val="en-GB"/>
        </w:rPr>
        <w:t xml:space="preserve"> </w:t>
      </w:r>
      <w:r>
        <w:rPr>
          <w:rFonts w:ascii="Palatino Linotype" w:hAnsi="Palatino Linotype"/>
          <w:color w:val="000000"/>
          <w:lang w:val="en-GB"/>
        </w:rPr>
        <w:t>në fuqi 2 vite pas hyrjes në fuqi të ligjit, sipas nenit 97 pika 2. Ai shërben si udhëzues për përgjegjësitë, detyrimet, kufijtë dhe të drejtat e personave përgjegjës, si dhe orienton në mënyrë të qartë detyrimet që vijnë nga ligji, duke siguruar garantimin e të drejtës së të dhënave personale. Ky instrument është parashikuar edhe në GDPR si një praktikë e mirë për sektorët e ndryshëm për të ndihmuar zbatimin korrekt dhe të harmonizuar të ligjit.</w:t>
      </w:r>
    </w:p>
    <w:p>
      <w:pPr>
        <w:pStyle w:val="ListParagraph"/>
        <w:rPr>
          <w:rFonts w:ascii="Palatino Linotype" w:hAnsi="Palatino Linotype"/>
          <w:color w:val="000000"/>
        </w:rPr>
      </w:pPr>
      <w:r>
        <w:rPr>
          <w:rFonts w:ascii="Palatino Linotype" w:hAnsi="Palatino Linotype"/>
          <w:color w:val="000000"/>
          <w:lang w:val="en-GB"/>
        </w:rPr>
        <w:t>Nga ana tjetër, Komisioneri dhe institucionet publike që kanë rol mbikëqyrës apo politikbërës në këtë fushë, duhet të promovojnë më shumë rëndësinë e pasjes së një Kodi të Sjelljes, duke ofruar informacionet e nevojshme mbi avantazhet e tij dhe duke nxitur hartimin e tyre nga shoqatat apo organet përfaqësuese të operatorëve dhe kontrolluesve. Për më tepër, Komisioneri, sipas nenit 35 të ligjit, mund të stimulojë miratimin dhe zbatimin e këtyre kodeve duke dhënë certifikime ose miratime të posaçme për ata operatorë që i hartojnë dhe i zbatojnë në përputhje me ligjin.</w:t>
      </w:r>
    </w:p>
    <w:p>
      <w:pPr>
        <w:pStyle w:val="ListParagraph"/>
        <w:jc w:val="both"/>
        <w:rPr>
          <w:rFonts w:ascii="Palatino Linotype" w:hAnsi="Palatino Linotype"/>
          <w:color w:val="000000"/>
          <w:lang w:val="en-GB"/>
        </w:rPr>
      </w:pPr>
      <w:r>
        <w:rPr>
          <w:rFonts w:ascii="Palatino Linotype" w:hAnsi="Palatino Linotype"/>
          <w:color w:val="000000"/>
          <w:lang w:val="en-GB"/>
        </w:rPr>
      </w:r>
    </w:p>
    <w:p>
      <w:pPr>
        <w:pStyle w:val="ListParagraph"/>
        <w:numPr>
          <w:ilvl w:val="0"/>
          <w:numId w:val="4"/>
        </w:numPr>
        <w:spacing w:before="0" w:after="160"/>
        <w:ind w:hanging="360" w:start="180"/>
        <w:contextualSpacing/>
        <w:jc w:val="both"/>
        <w:rPr>
          <w:rFonts w:ascii="Palatino Linotype" w:hAnsi="Palatino Linotype"/>
          <w:lang w:val="en-GB"/>
        </w:rPr>
      </w:pPr>
      <w:r>
        <w:rPr>
          <w:rFonts w:ascii="Palatino Linotype" w:hAnsi="Palatino Linotype"/>
          <w:lang w:val="en-GB"/>
        </w:rPr>
        <w:t>Rekomandohet promovimi i një kulture për mbrojtjen e të dhënave personale dhe privatësisë. Kjo kulturë duhet të jetë pjesë e përditshmërisë sonë, si një garanci e respektimit të dinjitetit dhe të drejtave të çdo individi, duke ndërtuar kështu një shoqëri që mbështetet tek besimi dhe siguria.</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40" w:right="1440" w:gutter="0" w:header="720" w:top="2790" w:footer="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Palatino Linotype">
    <w:charset w:val="00" w:characterSet="windows-1252"/>
    <w:family w:val="roman"/>
    <w:pitch w:val="variable"/>
  </w:font>
  <w:font w:name="Palatino Linotype">
    <w:charset w:val="01"/>
    <w:family w:val="roman"/>
    <w:pitch w:val="variable"/>
  </w:font>
  <w:font w:name="Canela Light">
    <w:charset w:val="00" w:characterSet="windows-1252"/>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Fonts w:ascii="Canela Light" w:hAnsi="Canela Light"/>
        <w:i/>
        <w:i/>
        <w:iCs/>
        <w:color w:val="0563C1"/>
        <w:sz w:val="18"/>
        <w:szCs w:val="18"/>
      </w:rPr>
    </w:pPr>
    <w:r>
      <w:rPr>
        <w:rFonts w:ascii="Palatino Linotype" w:hAnsi="Palatino Linotype"/>
        <w:i/>
        <w:iCs/>
        <w:color w:val="003399"/>
        <w:sz w:val="16"/>
        <w:szCs w:val="16"/>
      </w:rPr>
      <w:t>*</w:t>
    </w:r>
    <w:r>
      <w:rPr>
        <w:rFonts w:ascii="Canela Light" w:hAnsi="Canela Light"/>
        <w:i/>
        <w:iCs/>
        <w:color w:val="0563C1"/>
        <w:sz w:val="18"/>
        <w:szCs w:val="18"/>
      </w:rPr>
      <w:t xml:space="preserve">Ky sesion i Grupit të Punës për Kapitullin 23 zhvillohet në kuadër të projektit </w:t>
    </w:r>
    <w:r>
      <w:rPr>
        <w:rFonts w:ascii="Canela Light" w:hAnsi="Canela Light"/>
        <w:i/>
        <w:iCs/>
        <w:color w:val="0563C1"/>
        <w:sz w:val="18"/>
        <w:szCs w:val="18"/>
        <w:lang w:val="en-US"/>
      </w:rPr>
      <w:t>“</w:t>
    </w:r>
    <w:r>
      <w:rPr>
        <w:rFonts w:ascii="Canela Light" w:hAnsi="Canela Light"/>
        <w:i/>
        <w:iCs/>
        <w:color w:val="0563C1"/>
        <w:sz w:val="18"/>
        <w:szCs w:val="18"/>
      </w:rPr>
      <w:t>Ndërtimi i Partneritetit mbi Çështjet Themelore: Fuqizimi i OSHC-ve për procesin e anëtarësimit në BE”, me mbështetjen financiare të Bashkimit Evropian – IPA Civil Society Facility 2021, i cili zbatohet nga Lëvizja Europiane në Shqipëri dhe në bashkëpunim me Akademinë e Integrimit Europian dhe Negociatave (AIEN), Slovak Foreign Policy Association (SFPA) dhe Qendrën për Transparencë dhe Informim të Lirë (CTFI).</w:t>
    </w:r>
  </w:p>
  <w:p>
    <w:pPr>
      <w:pStyle w:val="Normal"/>
      <w:spacing w:lineRule="auto" w:line="240" w:before="0" w:after="0"/>
      <w:jc w:val="end"/>
      <w:rPr>
        <w:rFonts w:ascii="Palatino Linotype" w:hAnsi="Palatino Linotype"/>
        <w:i/>
        <w:i/>
        <w:iCs/>
        <w:color w:val="003399"/>
        <w:sz w:val="16"/>
        <w:szCs w:val="16"/>
      </w:rPr>
    </w:pPr>
    <w:r>
      <w:rPr>
        <w:rFonts w:ascii="Palatino Linotype" w:hAnsi="Palatino Linotype"/>
        <w:i/>
        <w:iCs/>
        <w:color w:val="003399"/>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Fonts w:ascii="Canela Light" w:hAnsi="Canela Light"/>
        <w:i/>
        <w:i/>
        <w:iCs/>
        <w:color w:val="0563C1"/>
        <w:sz w:val="18"/>
        <w:szCs w:val="18"/>
      </w:rPr>
    </w:pPr>
    <w:r>
      <w:rPr>
        <w:rFonts w:ascii="Palatino Linotype" w:hAnsi="Palatino Linotype"/>
        <w:i/>
        <w:iCs/>
        <w:color w:val="003399"/>
        <w:sz w:val="16"/>
        <w:szCs w:val="16"/>
      </w:rPr>
      <w:t>*</w:t>
    </w:r>
    <w:r>
      <w:rPr>
        <w:rFonts w:ascii="Canela Light" w:hAnsi="Canela Light"/>
        <w:i/>
        <w:iCs/>
        <w:color w:val="0563C1"/>
        <w:sz w:val="18"/>
        <w:szCs w:val="18"/>
      </w:rPr>
      <w:t xml:space="preserve">Ky sesion i Grupit të Punës për Kapitullin 23 zhvillohet në kuadër të projektit </w:t>
    </w:r>
    <w:r>
      <w:rPr>
        <w:rFonts w:ascii="Canela Light" w:hAnsi="Canela Light"/>
        <w:i/>
        <w:iCs/>
        <w:color w:val="0563C1"/>
        <w:sz w:val="18"/>
        <w:szCs w:val="18"/>
        <w:lang w:val="en-US"/>
      </w:rPr>
      <w:t>“</w:t>
    </w:r>
    <w:r>
      <w:rPr>
        <w:rFonts w:ascii="Canela Light" w:hAnsi="Canela Light"/>
        <w:i/>
        <w:iCs/>
        <w:color w:val="0563C1"/>
        <w:sz w:val="18"/>
        <w:szCs w:val="18"/>
      </w:rPr>
      <w:t>Ndërtimi i Partneritetit mbi Çështjet Themelore: Fuqizimi i OSHC-ve për procesin e anëtarësimit në BE”, me mbështetjen financiare të Bashkimit Evropian – IPA Civil Society Facility 2021, i cili zbatohet nga Lëvizja Europiane në Shqipëri dhe në bashkëpunim me Akademinë e Integrimit Europian dhe Negociatave (AIEN), Slovak Foreign Policy Association (SFPA) dhe Qendrën për Transparencë dhe Informim të Lirë (CTFI).</w:t>
    </w:r>
  </w:p>
  <w:p>
    <w:pPr>
      <w:pStyle w:val="Normal"/>
      <w:spacing w:lineRule="auto" w:line="240" w:before="0" w:after="0"/>
      <w:jc w:val="end"/>
      <w:rPr>
        <w:rFonts w:ascii="Palatino Linotype" w:hAnsi="Palatino Linotype"/>
        <w:i/>
        <w:i/>
        <w:iCs/>
        <w:color w:val="003399"/>
        <w:sz w:val="16"/>
        <w:szCs w:val="16"/>
      </w:rPr>
    </w:pPr>
    <w:r>
      <w:rPr>
        <w:rFonts w:ascii="Palatino Linotype" w:hAnsi="Palatino Linotype"/>
        <w:i/>
        <w:iCs/>
        <w:color w:val="003399"/>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drawing>
        <wp:anchor behindDoc="1" distT="0" distB="0" distL="114300" distR="114300" simplePos="0" locked="0" layoutInCell="0" allowOverlap="1" relativeHeight="5">
          <wp:simplePos x="0" y="0"/>
          <wp:positionH relativeFrom="margin">
            <wp:posOffset>4879975</wp:posOffset>
          </wp:positionH>
          <wp:positionV relativeFrom="paragraph">
            <wp:posOffset>-57785</wp:posOffset>
          </wp:positionV>
          <wp:extent cx="1392555" cy="596265"/>
          <wp:effectExtent l="0" t="0" r="0" b="0"/>
          <wp:wrapSquare wrapText="bothSides"/>
          <wp:docPr id="1" name="Picture 1536358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36358335"/>
                  <pic:cNvPicPr>
                    <a:picLocks noChangeAspect="1" noChangeArrowheads="1"/>
                  </pic:cNvPicPr>
                </pic:nvPicPr>
                <pic:blipFill>
                  <a:blip r:embed="rId1"/>
                  <a:stretch>
                    <a:fillRect/>
                  </a:stretch>
                </pic:blipFill>
                <pic:spPr bwMode="auto">
                  <a:xfrm>
                    <a:off x="0" y="0"/>
                    <a:ext cx="1392555" cy="596265"/>
                  </a:xfrm>
                  <a:prstGeom prst="rect">
                    <a:avLst/>
                  </a:prstGeom>
                  <a:noFill/>
                </pic:spPr>
              </pic:pic>
            </a:graphicData>
          </a:graphic>
        </wp:anchor>
      </w:drawing>
      <w:drawing>
        <wp:anchor behindDoc="1" distT="0" distB="0" distL="114300" distR="114300" simplePos="0" locked="0" layoutInCell="0" allowOverlap="1" relativeHeight="9">
          <wp:simplePos x="0" y="0"/>
          <wp:positionH relativeFrom="column">
            <wp:posOffset>2534285</wp:posOffset>
          </wp:positionH>
          <wp:positionV relativeFrom="paragraph">
            <wp:posOffset>-208915</wp:posOffset>
          </wp:positionV>
          <wp:extent cx="1005840" cy="1005840"/>
          <wp:effectExtent l="0" t="0" r="0" b="0"/>
          <wp:wrapSquare wrapText="bothSides"/>
          <wp:docPr id="2" name="Picture 1" descr="A red and blue line 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red and blue line art&#10;&#10;AI-generated content may be incorrect."/>
                  <pic:cNvPicPr>
                    <a:picLocks noChangeAspect="1" noChangeArrowheads="1"/>
                  </pic:cNvPicPr>
                </pic:nvPicPr>
                <pic:blipFill>
                  <a:blip r:embed="rId2"/>
                  <a:stretch>
                    <a:fillRect/>
                  </a:stretch>
                </pic:blipFill>
                <pic:spPr bwMode="auto">
                  <a:xfrm>
                    <a:off x="0" y="0"/>
                    <a:ext cx="1005840" cy="1005840"/>
                  </a:xfrm>
                  <a:prstGeom prst="rect">
                    <a:avLst/>
                  </a:prstGeom>
                  <a:noFill/>
                </pic:spPr>
              </pic:pic>
            </a:graphicData>
          </a:graphic>
        </wp:anchor>
      </w:drawing>
      <w:drawing>
        <wp:anchor behindDoc="1" distT="0" distB="0" distL="114300" distR="114300" simplePos="0" locked="0" layoutInCell="0" allowOverlap="1" relativeHeight="13">
          <wp:simplePos x="0" y="0"/>
          <wp:positionH relativeFrom="column">
            <wp:posOffset>-401320</wp:posOffset>
          </wp:positionH>
          <wp:positionV relativeFrom="paragraph">
            <wp:posOffset>-368300</wp:posOffset>
          </wp:positionV>
          <wp:extent cx="1737360" cy="1282700"/>
          <wp:effectExtent l="0" t="0" r="0" b="0"/>
          <wp:wrapSquare wrapText="bothSides"/>
          <wp:docPr id="3" name="Picture 294400329"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94400329" descr="A blue flag with yellow stars&#10;&#10;AI-generated content may be incorrect."/>
                  <pic:cNvPicPr>
                    <a:picLocks noChangeAspect="1" noChangeArrowheads="1"/>
                  </pic:cNvPicPr>
                </pic:nvPicPr>
                <pic:blipFill>
                  <a:blip r:embed="rId3"/>
                  <a:stretch>
                    <a:fillRect/>
                  </a:stretch>
                </pic:blipFill>
                <pic:spPr bwMode="auto">
                  <a:xfrm>
                    <a:off x="0" y="0"/>
                    <a:ext cx="1737360" cy="1282700"/>
                  </a:xfrm>
                  <a:prstGeom prst="rect">
                    <a:avLst/>
                  </a:prstGeom>
                  <a:noFill/>
                </pic:spPr>
              </pic:pic>
            </a:graphicData>
          </a:graphic>
        </wp:anchor>
      </w:drawing>
    </w: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drawing>
        <wp:anchor behindDoc="1" distT="0" distB="0" distL="114300" distR="114300" simplePos="0" locked="0" layoutInCell="0" allowOverlap="1" relativeHeight="5">
          <wp:simplePos x="0" y="0"/>
          <wp:positionH relativeFrom="margin">
            <wp:posOffset>4879975</wp:posOffset>
          </wp:positionH>
          <wp:positionV relativeFrom="paragraph">
            <wp:posOffset>-57785</wp:posOffset>
          </wp:positionV>
          <wp:extent cx="1392555" cy="596265"/>
          <wp:effectExtent l="0" t="0" r="0" b="0"/>
          <wp:wrapSquare wrapText="bothSides"/>
          <wp:docPr id="4" name="Picture 1536358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536358335"/>
                  <pic:cNvPicPr>
                    <a:picLocks noChangeAspect="1" noChangeArrowheads="1"/>
                  </pic:cNvPicPr>
                </pic:nvPicPr>
                <pic:blipFill>
                  <a:blip r:embed="rId1"/>
                  <a:stretch>
                    <a:fillRect/>
                  </a:stretch>
                </pic:blipFill>
                <pic:spPr bwMode="auto">
                  <a:xfrm>
                    <a:off x="0" y="0"/>
                    <a:ext cx="1392555" cy="596265"/>
                  </a:xfrm>
                  <a:prstGeom prst="rect">
                    <a:avLst/>
                  </a:prstGeom>
                  <a:noFill/>
                </pic:spPr>
              </pic:pic>
            </a:graphicData>
          </a:graphic>
        </wp:anchor>
      </w:drawing>
      <w:drawing>
        <wp:anchor behindDoc="1" distT="0" distB="0" distL="114300" distR="114300" simplePos="0" locked="0" layoutInCell="0" allowOverlap="1" relativeHeight="9">
          <wp:simplePos x="0" y="0"/>
          <wp:positionH relativeFrom="column">
            <wp:posOffset>2534285</wp:posOffset>
          </wp:positionH>
          <wp:positionV relativeFrom="paragraph">
            <wp:posOffset>-208915</wp:posOffset>
          </wp:positionV>
          <wp:extent cx="1005840" cy="1005840"/>
          <wp:effectExtent l="0" t="0" r="0" b="0"/>
          <wp:wrapSquare wrapText="bothSides"/>
          <wp:docPr id="5" name="Picture 1" descr="A red and blue line 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red and blue line art&#10;&#10;AI-generated content may be incorrect."/>
                  <pic:cNvPicPr>
                    <a:picLocks noChangeAspect="1" noChangeArrowheads="1"/>
                  </pic:cNvPicPr>
                </pic:nvPicPr>
                <pic:blipFill>
                  <a:blip r:embed="rId2"/>
                  <a:stretch>
                    <a:fillRect/>
                  </a:stretch>
                </pic:blipFill>
                <pic:spPr bwMode="auto">
                  <a:xfrm>
                    <a:off x="0" y="0"/>
                    <a:ext cx="1005840" cy="1005840"/>
                  </a:xfrm>
                  <a:prstGeom prst="rect">
                    <a:avLst/>
                  </a:prstGeom>
                  <a:noFill/>
                </pic:spPr>
              </pic:pic>
            </a:graphicData>
          </a:graphic>
        </wp:anchor>
      </w:drawing>
      <w:drawing>
        <wp:anchor behindDoc="1" distT="0" distB="0" distL="114300" distR="114300" simplePos="0" locked="0" layoutInCell="0" allowOverlap="1" relativeHeight="13">
          <wp:simplePos x="0" y="0"/>
          <wp:positionH relativeFrom="column">
            <wp:posOffset>-401320</wp:posOffset>
          </wp:positionH>
          <wp:positionV relativeFrom="paragraph">
            <wp:posOffset>-368300</wp:posOffset>
          </wp:positionV>
          <wp:extent cx="1737360" cy="1282700"/>
          <wp:effectExtent l="0" t="0" r="0" b="0"/>
          <wp:wrapSquare wrapText="bothSides"/>
          <wp:docPr id="6" name="Picture 294400329"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94400329" descr="A blue flag with yellow stars&#10;&#10;AI-generated content may be incorrect."/>
                  <pic:cNvPicPr>
                    <a:picLocks noChangeAspect="1" noChangeArrowheads="1"/>
                  </pic:cNvPicPr>
                </pic:nvPicPr>
                <pic:blipFill>
                  <a:blip r:embed="rId3"/>
                  <a:stretch>
                    <a:fillRect/>
                  </a:stretch>
                </pic:blipFill>
                <pic:spPr bwMode="auto">
                  <a:xfrm>
                    <a:off x="0" y="0"/>
                    <a:ext cx="1737360" cy="1282700"/>
                  </a:xfrm>
                  <a:prstGeom prst="rect">
                    <a:avLst/>
                  </a:prstGeom>
                  <a:noFill/>
                </pic:spPr>
              </pic:pic>
            </a:graphicData>
          </a:graphic>
        </wp:anchor>
      </w:drawing>
    </w: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108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5"/>
      <w:numFmt w:val="bullet"/>
      <w:lvlText w:val="-"/>
      <w:lvlJc w:val="start"/>
      <w:pPr>
        <w:tabs>
          <w:tab w:val="num" w:pos="0"/>
        </w:tabs>
        <w:ind w:start="720" w:hanging="360"/>
      </w:pPr>
      <w:rPr>
        <w:rFonts w:ascii="Palatino Linotype" w:hAnsi="Palatino Linotype" w:cs="Palatino Linotype" w:hint="default"/>
        <w:rFonts w:cstheme="minorBidi" w:eastAsiaTheme="minorHAnsi"/>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start w:val="15"/>
      <w:numFmt w:val="bullet"/>
      <w:lvlText w:val="-"/>
      <w:lvlJc w:val="start"/>
      <w:pPr>
        <w:tabs>
          <w:tab w:val="num" w:pos="0"/>
        </w:tabs>
        <w:ind w:start="720" w:hanging="360"/>
      </w:pPr>
      <w:rPr>
        <w:rFonts w:ascii="Palatino Linotype" w:hAnsi="Palatino Linotype" w:cs="Palatino Linotype" w:hint="default"/>
        <w:rFonts w:cstheme="minorBidi" w:eastAsiaTheme="minorHAnsi"/>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kern w:val="2"/>
        <w:sz w:val="22"/>
        <w:szCs w:val="22"/>
        <w:lang w:val="sq-A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Calibri" w:hAnsi="Calibri" w:eastAsia="Calibri" w:cs="Arial" w:asciiTheme="minorHAnsi" w:cstheme="minorBidi" w:eastAsiaTheme="minorHAnsi" w:hAnsiTheme="minorHAnsi"/>
      <w:color w:val="auto"/>
      <w:kern w:val="2"/>
      <w:sz w:val="22"/>
      <w:szCs w:val="22"/>
      <w:lang w:val="sq-AL" w:eastAsia="en-US" w:bidi="ar-SA"/>
      <w14:ligatures w14:val="standardContextual"/>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fc0b41"/>
    <w:rPr/>
  </w:style>
  <w:style w:type="character" w:styleId="FooterChar" w:customStyle="1">
    <w:name w:val="Footer Char"/>
    <w:basedOn w:val="DefaultParagraphFont"/>
    <w:link w:val="Footer"/>
    <w:uiPriority w:val="99"/>
    <w:qFormat/>
    <w:rsid w:val="00fc0b41"/>
    <w:rPr/>
  </w:style>
  <w:style w:type="character" w:styleId="Hyperlink">
    <w:name w:val="Hyperlink"/>
    <w:basedOn w:val="DefaultParagraphFont"/>
    <w:uiPriority w:val="99"/>
    <w:unhideWhenUsed/>
    <w:rsid w:val="00084b5d"/>
    <w:rPr>
      <w:color w:themeColor="hyperlink" w:val="0563C1"/>
      <w:u w:val="single"/>
    </w:rPr>
  </w:style>
  <w:style w:type="character" w:styleId="UnresolvedMention1" w:customStyle="1">
    <w:name w:val="Unresolved Mention1"/>
    <w:basedOn w:val="DefaultParagraphFont"/>
    <w:uiPriority w:val="99"/>
    <w:semiHidden/>
    <w:unhideWhenUsed/>
    <w:qFormat/>
    <w:rsid w:val="00084b5d"/>
    <w:rPr>
      <w:color w:val="605E5C"/>
      <w:shd w:fill="E1DFDD" w:val="clear"/>
    </w:rPr>
  </w:style>
  <w:style w:type="character" w:styleId="CommentReference">
    <w:name w:val="annotation reference"/>
    <w:basedOn w:val="DefaultParagraphFont"/>
    <w:uiPriority w:val="99"/>
    <w:semiHidden/>
    <w:unhideWhenUsed/>
    <w:qFormat/>
    <w:rsid w:val="00833791"/>
    <w:rPr>
      <w:sz w:val="16"/>
      <w:szCs w:val="16"/>
    </w:rPr>
  </w:style>
  <w:style w:type="character" w:styleId="CommentTextChar" w:customStyle="1">
    <w:name w:val="Comment Text Char"/>
    <w:basedOn w:val="DefaultParagraphFont"/>
    <w:link w:val="CommentText"/>
    <w:uiPriority w:val="99"/>
    <w:semiHidden/>
    <w:qFormat/>
    <w:rsid w:val="00833791"/>
    <w:rPr>
      <w:sz w:val="20"/>
      <w:szCs w:val="20"/>
    </w:rPr>
  </w:style>
  <w:style w:type="character" w:styleId="CommentSubjectChar" w:customStyle="1">
    <w:name w:val="Comment Subject Char"/>
    <w:basedOn w:val="CommentTextChar"/>
    <w:link w:val="annotationsubject"/>
    <w:uiPriority w:val="99"/>
    <w:semiHidden/>
    <w:qFormat/>
    <w:rsid w:val="00833791"/>
    <w:rPr>
      <w:b/>
      <w:bCs/>
      <w:sz w:val="20"/>
      <w:szCs w:val="20"/>
    </w:rPr>
  </w:style>
  <w:style w:type="character" w:styleId="BalloonTextChar" w:customStyle="1">
    <w:name w:val="Balloon Text Char"/>
    <w:basedOn w:val="DefaultParagraphFont"/>
    <w:link w:val="BalloonText"/>
    <w:uiPriority w:val="99"/>
    <w:semiHidden/>
    <w:qFormat/>
    <w:rsid w:val="00833791"/>
    <w:rPr>
      <w:rFonts w:ascii="Tahoma" w:hAnsi="Tahoma" w:cs="Tahoma"/>
      <w:sz w:val="16"/>
      <w:szCs w:val="16"/>
    </w:rPr>
  </w:style>
  <w:style w:type="character" w:styleId="UnresolvedMention2" w:customStyle="1">
    <w:name w:val="Unresolved Mention2"/>
    <w:basedOn w:val="DefaultParagraphFont"/>
    <w:uiPriority w:val="99"/>
    <w:semiHidden/>
    <w:unhideWhenUsed/>
    <w:qFormat/>
    <w:rsid w:val="00df2101"/>
    <w:rPr>
      <w:color w:val="605E5C"/>
      <w:shd w:fill="E1DFDD" w:val="clear"/>
    </w:rPr>
  </w:style>
  <w:style w:type="character" w:styleId="Strong">
    <w:name w:val="Strong"/>
    <w:basedOn w:val="DefaultParagraphFont"/>
    <w:uiPriority w:val="22"/>
    <w:qFormat/>
    <w:rsid w:val="006642ee"/>
    <w:rPr>
      <w:b/>
      <w:bCs/>
    </w:rPr>
  </w:style>
  <w:style w:type="character" w:styleId="LineNumber">
    <w:name w:val="line number"/>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d96d66"/>
    <w:pPr>
      <w:spacing w:before="0" w:after="160"/>
      <w:ind w:start="72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fc0b41"/>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fc0b41"/>
    <w:pPr>
      <w:tabs>
        <w:tab w:val="clear" w:pos="720"/>
        <w:tab w:val="center" w:pos="4513" w:leader="none"/>
        <w:tab w:val="right" w:pos="9026" w:leader="none"/>
      </w:tabs>
      <w:spacing w:lineRule="auto" w:line="240" w:before="0" w:after="0"/>
    </w:pPr>
    <w:rPr/>
  </w:style>
  <w:style w:type="paragraph" w:styleId="CommentText">
    <w:name w:val="annotation text"/>
    <w:basedOn w:val="Normal"/>
    <w:link w:val="CommentTextChar"/>
    <w:uiPriority w:val="99"/>
    <w:semiHidden/>
    <w:unhideWhenUsed/>
    <w:rsid w:val="00833791"/>
    <w:pPr>
      <w:spacing w:lineRule="auto" w:line="240"/>
    </w:pPr>
    <w:rPr>
      <w:sz w:val="20"/>
      <w:szCs w:val="20"/>
    </w:rPr>
  </w:style>
  <w:style w:type="paragraph" w:styleId="annotationsubject">
    <w:name w:val="annotation subject"/>
    <w:basedOn w:val="CommentText"/>
    <w:next w:val="CommentText"/>
    <w:link w:val="CommentSubjectChar"/>
    <w:uiPriority w:val="99"/>
    <w:semiHidden/>
    <w:unhideWhenUsed/>
    <w:qFormat/>
    <w:rsid w:val="00833791"/>
    <w:pPr/>
    <w:rPr>
      <w:b/>
      <w:bCs/>
    </w:rPr>
  </w:style>
  <w:style w:type="paragraph" w:styleId="BalloonText">
    <w:name w:val="Balloon Text"/>
    <w:basedOn w:val="Normal"/>
    <w:link w:val="BalloonTextChar"/>
    <w:uiPriority w:val="99"/>
    <w:semiHidden/>
    <w:unhideWhenUsed/>
    <w:qFormat/>
    <w:rsid w:val="00833791"/>
    <w:pPr>
      <w:spacing w:lineRule="auto" w:line="240" w:before="0" w:after="0"/>
    </w:pPr>
    <w:rPr>
      <w:rFonts w:ascii="Tahoma" w:hAnsi="Tahoma" w:cs="Tahoma"/>
      <w:sz w:val="16"/>
      <w:szCs w:val="16"/>
    </w:rPr>
  </w:style>
  <w:style w:type="paragraph" w:styleId="NormalWeb">
    <w:name w:val="Normal (Web)"/>
    <w:basedOn w:val="Normal"/>
    <w:uiPriority w:val="99"/>
    <w:unhideWhenUsed/>
    <w:qFormat/>
    <w:rsid w:val="003f4322"/>
    <w:pPr/>
    <w:rPr>
      <w:rFonts w:ascii="Times New Roman" w:hAnsi="Times New Roman" w:cs="Times New Roman"/>
      <w:sz w:val="24"/>
      <w:szCs w:val="24"/>
    </w:rPr>
  </w:style>
  <w:style w:type="paragraph" w:styleId="Revision">
    <w:name w:val="Revision"/>
    <w:uiPriority w:val="99"/>
    <w:semiHidden/>
    <w:qFormat/>
    <w:rsid w:val="0043177b"/>
    <w:pPr>
      <w:widowControl/>
      <w:bidi w:val="0"/>
      <w:spacing w:lineRule="auto" w:line="240" w:before="0" w:after="0"/>
      <w:jc w:val="start"/>
    </w:pPr>
    <w:rPr>
      <w:rFonts w:ascii="Calibri" w:hAnsi="Calibri" w:eastAsia="Calibri" w:cs="Arial" w:asciiTheme="minorHAnsi" w:cstheme="minorBidi" w:eastAsiaTheme="minorHAnsi" w:hAnsiTheme="minorHAnsi"/>
      <w:color w:val="auto"/>
      <w:kern w:val="2"/>
      <w:sz w:val="22"/>
      <w:szCs w:val="22"/>
      <w:lang w:val="sq-AL" w:eastAsia="en-US" w:bidi="ar-SA"/>
      <w14:ligatures w14:val="standardContextu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e33e7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192</TotalTime>
  <Application>LibreOffice/25.8.3.2$Windows_X86_64 LibreOffice_project/8ca8d55c161d602844f5428fa4b58097424e324e</Application>
  <AppVersion>15.0000</AppVersion>
  <Pages>4</Pages>
  <Words>1474</Words>
  <Characters>7780</Characters>
  <CharactersWithSpaces>9312</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2025-07-24T12:50:00Z</dcterms:created>
  <dc:creator>Nirvana Deliu</dc:creator>
  <dc:description/>
  <dc:language>en-US</dc:language>
  <cp:lastModifiedBy/>
  <cp:lastPrinted>2025-04-25T12:58:00Z</cp:lastPrinted>
  <dcterms:modified xsi:type="dcterms:W3CDTF">2026-01-08T12:54:25Z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ActionId">
    <vt:lpwstr>5bc33cf2-aef1-47ff-8cd7-7223ff98aa91</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2025-06-04T10:07:06Z</vt:lpwstr>
  </property>
  <property fmtid="{D5CDD505-2E9C-101B-9397-08002B2CF9AE}" pid="8" name="MSIP_Label_defa4170-0d19-0005-0004-bc88714345d2_SiteId">
    <vt:lpwstr>a6d8c142-f9de-4d0d-ba68-55029357c417</vt:lpwstr>
  </property>
  <property fmtid="{D5CDD505-2E9C-101B-9397-08002B2CF9AE}" pid="9" name="MSIP_Label_defa4170-0d19-0005-0004-bc88714345d2_Tag">
    <vt:lpwstr>10, 3, 0, 1</vt:lpwstr>
  </property>
</Properties>
</file>