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8BCE1" w14:textId="77777777" w:rsidR="003D454B" w:rsidRPr="003D454B" w:rsidRDefault="003D454B" w:rsidP="003D454B">
      <w:pPr>
        <w:jc w:val="center"/>
        <w:rPr>
          <w:rFonts w:ascii="Palatino Linotype" w:hAnsi="Palatino Linotype"/>
          <w:b/>
          <w:bCs/>
          <w:color w:val="2F5496" w:themeColor="accent1" w:themeShade="BF"/>
          <w:sz w:val="24"/>
          <w:szCs w:val="24"/>
          <w:lang w:val="en-GB"/>
        </w:rPr>
      </w:pPr>
      <w:r w:rsidRPr="003D454B">
        <w:rPr>
          <w:rFonts w:ascii="Palatino Linotype" w:hAnsi="Palatino Linotype"/>
          <w:b/>
          <w:bCs/>
          <w:color w:val="2F5496" w:themeColor="accent1" w:themeShade="BF"/>
          <w:sz w:val="24"/>
          <w:szCs w:val="24"/>
          <w:lang w:val="en-GB"/>
        </w:rPr>
        <w:t>NATIONAL CONVENTION ON EUROPEAN INTEGRATION</w:t>
      </w:r>
    </w:p>
    <w:p w14:paraId="0FA2C00F" w14:textId="77777777" w:rsidR="003D454B" w:rsidRPr="003D454B" w:rsidRDefault="003D454B" w:rsidP="003D454B">
      <w:pPr>
        <w:jc w:val="center"/>
        <w:rPr>
          <w:rFonts w:ascii="Palatino Linotype" w:hAnsi="Palatino Linotype"/>
          <w:b/>
          <w:bCs/>
          <w:color w:val="2F5496" w:themeColor="accent1" w:themeShade="BF"/>
          <w:sz w:val="24"/>
          <w:szCs w:val="24"/>
          <w:lang w:val="en-GB"/>
        </w:rPr>
      </w:pPr>
      <w:r w:rsidRPr="003D454B">
        <w:rPr>
          <w:rFonts w:ascii="Palatino Linotype" w:hAnsi="Palatino Linotype"/>
          <w:b/>
          <w:bCs/>
          <w:color w:val="2F5496" w:themeColor="accent1" w:themeShade="BF"/>
          <w:sz w:val="24"/>
          <w:szCs w:val="24"/>
          <w:lang w:val="en-GB"/>
        </w:rPr>
        <w:t>Working Group for Chapter 23: Judiciary and Fundamental Rights</w:t>
      </w:r>
    </w:p>
    <w:p w14:paraId="71AEBB64" w14:textId="77777777" w:rsidR="003D454B" w:rsidRPr="003D454B" w:rsidRDefault="003D454B" w:rsidP="003D454B">
      <w:pPr>
        <w:jc w:val="center"/>
        <w:rPr>
          <w:rFonts w:ascii="Palatino Linotype" w:hAnsi="Palatino Linotype"/>
          <w:b/>
          <w:bCs/>
          <w:color w:val="2F5496" w:themeColor="accent1" w:themeShade="BF"/>
          <w:sz w:val="24"/>
          <w:szCs w:val="24"/>
          <w:lang w:val="en-GB"/>
        </w:rPr>
      </w:pPr>
    </w:p>
    <w:p w14:paraId="5757D128" w14:textId="77777777" w:rsidR="003D454B" w:rsidRPr="003D454B" w:rsidRDefault="003D454B" w:rsidP="003D454B">
      <w:pPr>
        <w:jc w:val="center"/>
        <w:rPr>
          <w:rFonts w:ascii="Palatino Linotype" w:hAnsi="Palatino Linotype"/>
          <w:b/>
          <w:bCs/>
          <w:color w:val="2F5496" w:themeColor="accent1" w:themeShade="BF"/>
          <w:sz w:val="24"/>
          <w:szCs w:val="24"/>
          <w:lang w:val="en-GB"/>
        </w:rPr>
      </w:pPr>
      <w:r w:rsidRPr="003D454B">
        <w:rPr>
          <w:rFonts w:ascii="Palatino Linotype" w:hAnsi="Palatino Linotype"/>
          <w:b/>
          <w:bCs/>
          <w:color w:val="2F5496" w:themeColor="accent1" w:themeShade="BF"/>
          <w:sz w:val="24"/>
          <w:szCs w:val="24"/>
          <w:lang w:val="en-GB"/>
        </w:rPr>
        <w:t>Justice Reform in Progress: The Role of the School of Magistrates and Judicial Integrity in the EU Accession Process</w:t>
      </w:r>
    </w:p>
    <w:p w14:paraId="1E07A032" w14:textId="30AC591F" w:rsidR="00B336C4" w:rsidRDefault="003D454B" w:rsidP="003D454B">
      <w:pPr>
        <w:jc w:val="center"/>
        <w:rPr>
          <w:rFonts w:ascii="Palatino Linotype" w:hAnsi="Palatino Linotype"/>
          <w:b/>
          <w:bCs/>
          <w:color w:val="2F5496" w:themeColor="accent1" w:themeShade="BF"/>
          <w:u w:val="single"/>
          <w:lang w:val="en-GB"/>
        </w:rPr>
      </w:pPr>
      <w:r w:rsidRPr="003D454B">
        <w:rPr>
          <w:rFonts w:ascii="Palatino Linotype" w:hAnsi="Palatino Linotype"/>
          <w:b/>
          <w:bCs/>
          <w:color w:val="2F5496" w:themeColor="accent1" w:themeShade="BF"/>
          <w:sz w:val="24"/>
          <w:szCs w:val="24"/>
          <w:lang w:val="en-GB"/>
        </w:rPr>
        <w:t xml:space="preserve">20 June 2025, </w:t>
      </w:r>
      <w:r>
        <w:rPr>
          <w:rFonts w:ascii="Palatino Linotype" w:hAnsi="Palatino Linotype"/>
          <w:b/>
          <w:bCs/>
          <w:color w:val="2F5496" w:themeColor="accent1" w:themeShade="BF"/>
          <w:sz w:val="24"/>
          <w:szCs w:val="24"/>
          <w:lang w:val="en-GB"/>
        </w:rPr>
        <w:t>Tirana</w:t>
      </w:r>
    </w:p>
    <w:p w14:paraId="0C3E6B4B" w14:textId="39E1946B" w:rsidR="00C01A9F" w:rsidRDefault="003C7D5B" w:rsidP="00C01A9F">
      <w:pPr>
        <w:jc w:val="center"/>
        <w:rPr>
          <w:rFonts w:ascii="Palatino Linotype" w:hAnsi="Palatino Linotype"/>
          <w:b/>
          <w:bCs/>
          <w:color w:val="2F5496" w:themeColor="accent1" w:themeShade="BF"/>
          <w:u w:val="single"/>
          <w:lang w:val="en-GB"/>
        </w:rPr>
      </w:pPr>
      <w:r w:rsidRPr="00A4300E">
        <w:rPr>
          <w:rFonts w:ascii="Palatino Linotype" w:hAnsi="Palatino Linotype"/>
          <w:b/>
          <w:bCs/>
          <w:color w:val="2F5496" w:themeColor="accent1" w:themeShade="BF"/>
          <w:u w:val="single"/>
          <w:lang w:val="en-GB"/>
        </w:rPr>
        <w:t>RE</w:t>
      </w:r>
      <w:r w:rsidR="00E3188F">
        <w:rPr>
          <w:rFonts w:ascii="Palatino Linotype" w:hAnsi="Palatino Linotype"/>
          <w:b/>
          <w:bCs/>
          <w:color w:val="2F5496" w:themeColor="accent1" w:themeShade="BF"/>
          <w:u w:val="single"/>
          <w:lang w:val="en-GB"/>
        </w:rPr>
        <w:t>COMMENDATIONS</w:t>
      </w:r>
    </w:p>
    <w:p w14:paraId="35A43166" w14:textId="77777777" w:rsidR="00D67E70" w:rsidRDefault="00D67E70" w:rsidP="00D67E70">
      <w:pPr>
        <w:jc w:val="both"/>
        <w:rPr>
          <w:rFonts w:ascii="Palatino Linotype" w:hAnsi="Palatino Linotype"/>
          <w:b/>
          <w:bCs/>
          <w:u w:val="single"/>
          <w:lang w:val="en-GB"/>
        </w:rPr>
      </w:pPr>
    </w:p>
    <w:p w14:paraId="5854E77C" w14:textId="6B181937" w:rsidR="00D67E70" w:rsidRDefault="00D67E70" w:rsidP="00D67E70">
      <w:pPr>
        <w:jc w:val="both"/>
        <w:rPr>
          <w:rFonts w:ascii="Palatino Linotype" w:hAnsi="Palatino Linotype"/>
          <w:b/>
          <w:bCs/>
          <w:u w:val="single"/>
          <w:lang w:val="en-GB"/>
        </w:rPr>
      </w:pPr>
      <w:r>
        <w:rPr>
          <w:rFonts w:ascii="Palatino Linotype" w:hAnsi="Palatino Linotype"/>
          <w:b/>
          <w:bCs/>
          <w:u w:val="single"/>
          <w:lang w:val="en-GB"/>
        </w:rPr>
        <w:t xml:space="preserve">Reform process </w:t>
      </w:r>
    </w:p>
    <w:p w14:paraId="3259303B" w14:textId="77777777" w:rsidR="00D67E70" w:rsidRDefault="00D67E70" w:rsidP="00D67E70">
      <w:pPr>
        <w:pStyle w:val="ListParagraph"/>
        <w:numPr>
          <w:ilvl w:val="0"/>
          <w:numId w:val="37"/>
        </w:numPr>
        <w:ind w:left="0"/>
        <w:jc w:val="both"/>
        <w:rPr>
          <w:rFonts w:ascii="Palatino Linotype" w:hAnsi="Palatino Linotype"/>
          <w:lang w:val="en-GB"/>
        </w:rPr>
      </w:pPr>
      <w:r w:rsidRPr="00D67E70">
        <w:rPr>
          <w:rFonts w:ascii="Palatino Linotype" w:hAnsi="Palatino Linotype"/>
          <w:b/>
          <w:bCs/>
          <w:lang w:val="en-GB"/>
        </w:rPr>
        <w:t>On Integrating Integrity into Justice Reforms</w:t>
      </w:r>
      <w:r w:rsidRPr="00D67E70">
        <w:rPr>
          <w:rFonts w:ascii="Palatino Linotype" w:hAnsi="Palatino Linotype"/>
          <w:lang w:val="en-GB"/>
        </w:rPr>
        <w:t xml:space="preserve"> – When focused on integrity, reforms should include it as a central component of the ongoing transformation of the justice system and institutions in Albania. In this regard, reform processes should combine rules with identity, traditions, and informal norms. For example, </w:t>
      </w:r>
      <w:r w:rsidRPr="00B36625">
        <w:rPr>
          <w:rFonts w:ascii="Palatino Linotype" w:hAnsi="Palatino Linotype"/>
          <w:i/>
          <w:iCs/>
          <w:lang w:val="en-GB"/>
        </w:rPr>
        <w:t>vetting procedures</w:t>
      </w:r>
      <w:r w:rsidRPr="00D67E70">
        <w:rPr>
          <w:rFonts w:ascii="Palatino Linotype" w:hAnsi="Palatino Linotype"/>
          <w:lang w:val="en-GB"/>
        </w:rPr>
        <w:t xml:space="preserve"> can strengthen public trust if they are genuine, but erode trust if manipulated. Rigid and clear procedures should therefore be combined with cultural strategies, norms, and history of society concerning integrity, corruption, or conflict of interest. A monitoring exercise should follow, combining internal mechanisms (implemented by the institutions themselves) with external ones, ensuring open cooperation with CSOs, experts, and academia.</w:t>
      </w:r>
    </w:p>
    <w:p w14:paraId="5A4DD0C2" w14:textId="77777777" w:rsidR="00D67E70" w:rsidRDefault="00D67E70" w:rsidP="00D67E70">
      <w:pPr>
        <w:pStyle w:val="ListParagraph"/>
        <w:ind w:left="0"/>
        <w:jc w:val="both"/>
        <w:rPr>
          <w:rFonts w:ascii="Palatino Linotype" w:hAnsi="Palatino Linotype"/>
          <w:lang w:val="en-GB"/>
        </w:rPr>
      </w:pPr>
    </w:p>
    <w:p w14:paraId="2367AC1E" w14:textId="3839F4CC" w:rsidR="00D67E70" w:rsidRDefault="00D67E70" w:rsidP="00D67E70">
      <w:pPr>
        <w:pStyle w:val="ListParagraph"/>
        <w:numPr>
          <w:ilvl w:val="0"/>
          <w:numId w:val="37"/>
        </w:numPr>
        <w:ind w:left="0"/>
        <w:jc w:val="both"/>
        <w:rPr>
          <w:rFonts w:ascii="Palatino Linotype" w:hAnsi="Palatino Linotype"/>
          <w:lang w:val="en-GB"/>
        </w:rPr>
      </w:pPr>
      <w:r w:rsidRPr="00D67E70">
        <w:rPr>
          <w:rFonts w:ascii="Palatino Linotype" w:hAnsi="Palatino Linotype"/>
          <w:b/>
          <w:bCs/>
          <w:lang w:val="en-GB"/>
        </w:rPr>
        <w:t>On Alignment with the EU Accession Process</w:t>
      </w:r>
      <w:r w:rsidRPr="00D67E70">
        <w:rPr>
          <w:rFonts w:ascii="Palatino Linotype" w:hAnsi="Palatino Linotype"/>
          <w:lang w:val="en-GB"/>
        </w:rPr>
        <w:t xml:space="preserve"> – Participants emphasized that strengthening judicial integrity in Albania should be closely tied to the priorities of the EU accession process, particularly Chapter 23 on Judiciary and Fundamental Rights. Embedding integrity in reforms not only addresses internal challenges but also aligns Albania with E</w:t>
      </w:r>
      <w:r w:rsidR="00B36625">
        <w:rPr>
          <w:rFonts w:ascii="Palatino Linotype" w:hAnsi="Palatino Linotype"/>
          <w:lang w:val="en-GB"/>
        </w:rPr>
        <w:t>U</w:t>
      </w:r>
      <w:r w:rsidRPr="00D67E70">
        <w:rPr>
          <w:rFonts w:ascii="Palatino Linotype" w:hAnsi="Palatino Linotype"/>
          <w:lang w:val="en-GB"/>
        </w:rPr>
        <w:t>. Judicial institutions should ensure that integrity-related measures are explicitly linked with EU benchmarks, and that monitoring of reforms includes both domestic and EU-driven evaluation mechanisms.</w:t>
      </w:r>
    </w:p>
    <w:p w14:paraId="334FC77F" w14:textId="77777777" w:rsidR="00D67E70" w:rsidRPr="00D67E70" w:rsidRDefault="00D67E70" w:rsidP="00D67E70">
      <w:pPr>
        <w:pStyle w:val="ListParagraph"/>
        <w:rPr>
          <w:rFonts w:ascii="Palatino Linotype" w:hAnsi="Palatino Linotype"/>
          <w:lang w:val="en-GB"/>
        </w:rPr>
      </w:pPr>
    </w:p>
    <w:p w14:paraId="3A1956AA" w14:textId="77777777" w:rsidR="00D67E70" w:rsidRDefault="00D67E70" w:rsidP="00D67E70">
      <w:pPr>
        <w:pStyle w:val="ListParagraph"/>
        <w:ind w:left="0"/>
        <w:jc w:val="both"/>
        <w:rPr>
          <w:rFonts w:ascii="Palatino Linotype" w:hAnsi="Palatino Linotype"/>
          <w:lang w:val="en-GB"/>
        </w:rPr>
      </w:pPr>
    </w:p>
    <w:p w14:paraId="67E331A6" w14:textId="0E7753C2" w:rsidR="00D67E70" w:rsidRDefault="00D67E70" w:rsidP="00D67E70">
      <w:pPr>
        <w:pStyle w:val="ListParagraph"/>
        <w:ind w:left="0"/>
        <w:jc w:val="both"/>
        <w:rPr>
          <w:rFonts w:ascii="Palatino Linotype" w:hAnsi="Palatino Linotype"/>
          <w:b/>
          <w:bCs/>
          <w:u w:val="single"/>
          <w:lang w:val="en-GB"/>
        </w:rPr>
      </w:pPr>
      <w:r w:rsidRPr="00D67E70">
        <w:rPr>
          <w:rFonts w:ascii="Palatino Linotype" w:hAnsi="Palatino Linotype"/>
          <w:b/>
          <w:bCs/>
          <w:u w:val="single"/>
          <w:lang w:val="en-GB"/>
        </w:rPr>
        <w:t xml:space="preserve">Procedures and Frameworks </w:t>
      </w:r>
      <w:r w:rsidR="00B36625">
        <w:rPr>
          <w:rFonts w:ascii="Palatino Linotype" w:hAnsi="Palatino Linotype"/>
          <w:b/>
          <w:bCs/>
          <w:u w:val="single"/>
          <w:lang w:val="en-GB"/>
        </w:rPr>
        <w:t>for a culture of integrity</w:t>
      </w:r>
    </w:p>
    <w:p w14:paraId="7199F65D" w14:textId="77777777" w:rsidR="00D67E70" w:rsidRPr="00D67E70" w:rsidRDefault="00D67E70" w:rsidP="00D67E70">
      <w:pPr>
        <w:pStyle w:val="ListParagraph"/>
        <w:ind w:left="0"/>
        <w:jc w:val="both"/>
        <w:rPr>
          <w:rFonts w:ascii="Palatino Linotype" w:hAnsi="Palatino Linotype"/>
          <w:b/>
          <w:bCs/>
          <w:u w:val="single"/>
          <w:lang w:val="en-GB"/>
        </w:rPr>
      </w:pPr>
    </w:p>
    <w:p w14:paraId="1C9E421F" w14:textId="3F5C7C8E" w:rsidR="00D67E70" w:rsidRDefault="00D67E70" w:rsidP="00D67E70">
      <w:pPr>
        <w:pStyle w:val="ListParagraph"/>
        <w:numPr>
          <w:ilvl w:val="0"/>
          <w:numId w:val="37"/>
        </w:numPr>
        <w:ind w:left="0"/>
        <w:jc w:val="both"/>
        <w:rPr>
          <w:rFonts w:ascii="Palatino Linotype" w:hAnsi="Palatino Linotype"/>
          <w:lang w:val="en-GB"/>
        </w:rPr>
      </w:pPr>
      <w:r w:rsidRPr="00D67E70">
        <w:rPr>
          <w:rFonts w:ascii="Palatino Linotype" w:hAnsi="Palatino Linotype"/>
          <w:b/>
          <w:bCs/>
          <w:lang w:val="en-GB"/>
        </w:rPr>
        <w:lastRenderedPageBreak/>
        <w:t>On Ethical Frameworks</w:t>
      </w:r>
      <w:r w:rsidRPr="00D67E70">
        <w:rPr>
          <w:rFonts w:ascii="Palatino Linotype" w:hAnsi="Palatino Linotype"/>
          <w:lang w:val="en-GB"/>
        </w:rPr>
        <w:t xml:space="preserve"> – Judiciaries should not only adopt formal codes of conduct, but ensure that they are accessible, practical, and regularly discussed. For example, the Netherlands uses several complementary codes: one for impartiality and one for judicial staff written in clear, practical language. This makes it easier for judges to see how principles apply in daily practice. Another best practice comes from the Czech Union of Judges which has created an Open Collection of Ethical Dilemmas, where real scenarios are documented and debated. This transforms the code from a static text into a dynamic learning tool.</w:t>
      </w:r>
    </w:p>
    <w:p w14:paraId="0E3EC525" w14:textId="77777777" w:rsidR="00D67E70" w:rsidRPr="00D67E70" w:rsidRDefault="00D67E70" w:rsidP="00D67E70">
      <w:pPr>
        <w:pStyle w:val="ListParagraph"/>
        <w:ind w:left="0"/>
        <w:jc w:val="both"/>
        <w:rPr>
          <w:rFonts w:ascii="Palatino Linotype" w:hAnsi="Palatino Linotype"/>
          <w:lang w:val="en-GB"/>
        </w:rPr>
      </w:pPr>
    </w:p>
    <w:p w14:paraId="294977F5" w14:textId="75FD95EF" w:rsidR="00D67E70" w:rsidRPr="00D67E70" w:rsidRDefault="00D67E70" w:rsidP="00D67E70">
      <w:pPr>
        <w:pStyle w:val="ListParagraph"/>
        <w:numPr>
          <w:ilvl w:val="0"/>
          <w:numId w:val="35"/>
        </w:numPr>
        <w:ind w:left="0"/>
        <w:jc w:val="both"/>
        <w:rPr>
          <w:rFonts w:ascii="Palatino Linotype" w:hAnsi="Palatino Linotype"/>
          <w:lang w:val="en-GB"/>
        </w:rPr>
      </w:pPr>
      <w:r w:rsidRPr="00D67E70">
        <w:rPr>
          <w:rFonts w:ascii="Palatino Linotype" w:hAnsi="Palatino Linotype"/>
          <w:b/>
          <w:bCs/>
          <w:lang w:val="en-GB"/>
        </w:rPr>
        <w:t>On Internalisation of Integrity through Education</w:t>
      </w:r>
      <w:r w:rsidRPr="00D67E70">
        <w:rPr>
          <w:rFonts w:ascii="Palatino Linotype" w:hAnsi="Palatino Linotype"/>
          <w:lang w:val="en-GB"/>
        </w:rPr>
        <w:t xml:space="preserve"> – Ethics should not be treated as an external add-on but as part of a judge’s professional identity, while training and capacity building on integrity should be continuous. Judicial schools should integrate ethics modules not only at entry-level training but throughout a judge’s career, reinforcing reflection and peer dialogue. It is recommended based on best practices from other MS:</w:t>
      </w:r>
    </w:p>
    <w:p w14:paraId="028BBD3C" w14:textId="77777777" w:rsidR="00D67E70" w:rsidRPr="00D67E70" w:rsidRDefault="00D67E70" w:rsidP="00D67E70">
      <w:pPr>
        <w:pStyle w:val="ListParagraph"/>
        <w:jc w:val="both"/>
        <w:rPr>
          <w:rFonts w:ascii="Palatino Linotype" w:hAnsi="Palatino Linotype"/>
          <w:lang w:val="en-GB"/>
        </w:rPr>
      </w:pPr>
    </w:p>
    <w:p w14:paraId="0535008B" w14:textId="77777777" w:rsidR="00D67E70" w:rsidRPr="00B36625" w:rsidRDefault="00D67E70" w:rsidP="00D67E70">
      <w:pPr>
        <w:pStyle w:val="ListParagraph"/>
        <w:numPr>
          <w:ilvl w:val="0"/>
          <w:numId w:val="36"/>
        </w:numPr>
        <w:ind w:left="360"/>
        <w:jc w:val="both"/>
        <w:rPr>
          <w:rFonts w:ascii="Palatino Linotype" w:hAnsi="Palatino Linotype"/>
          <w:i/>
          <w:iCs/>
          <w:lang w:val="en-GB"/>
        </w:rPr>
      </w:pPr>
      <w:r w:rsidRPr="00B36625">
        <w:rPr>
          <w:rFonts w:ascii="Palatino Linotype" w:hAnsi="Palatino Linotype"/>
          <w:i/>
          <w:iCs/>
          <w:lang w:val="en-GB"/>
        </w:rPr>
        <w:t>Organisation of regular training and workshops that also include case-based discussions: e.g., a new judge whose family members are lawyers, or a judge asked to join a politically sensitive demonstration.</w:t>
      </w:r>
    </w:p>
    <w:p w14:paraId="64C0EAE2" w14:textId="78710742" w:rsidR="00D67E70" w:rsidRPr="00B36625" w:rsidRDefault="00D67E70" w:rsidP="00B36625">
      <w:pPr>
        <w:pStyle w:val="ListParagraph"/>
        <w:numPr>
          <w:ilvl w:val="0"/>
          <w:numId w:val="36"/>
        </w:numPr>
        <w:ind w:left="360"/>
        <w:jc w:val="both"/>
        <w:rPr>
          <w:rFonts w:ascii="Palatino Linotype" w:hAnsi="Palatino Linotype"/>
          <w:i/>
          <w:iCs/>
          <w:lang w:val="en-GB"/>
        </w:rPr>
      </w:pPr>
      <w:r w:rsidRPr="00B36625">
        <w:rPr>
          <w:rFonts w:ascii="Palatino Linotype" w:hAnsi="Palatino Linotype"/>
          <w:i/>
          <w:iCs/>
          <w:lang w:val="en-GB"/>
        </w:rPr>
        <w:t>Facilitating mentorship programs where senior judges, experts from academia and CSOs, and counterparts from the region and EU offer their expertise and mentor especially early-stage magistrates. In Sweden, for example, judicial training encourages judges to ask themselves key ethical questions before acting.</w:t>
      </w:r>
    </w:p>
    <w:p w14:paraId="1151AA0D" w14:textId="77777777" w:rsidR="00B36625" w:rsidRPr="00B36625" w:rsidRDefault="00B36625" w:rsidP="00B36625">
      <w:pPr>
        <w:pStyle w:val="ListParagraph"/>
        <w:ind w:left="360"/>
        <w:jc w:val="both"/>
        <w:rPr>
          <w:rFonts w:ascii="Palatino Linotype" w:hAnsi="Palatino Linotype"/>
          <w:lang w:val="en-GB"/>
        </w:rPr>
      </w:pPr>
    </w:p>
    <w:p w14:paraId="6713CE14" w14:textId="77777777" w:rsidR="00D67E70" w:rsidRDefault="00D67E70" w:rsidP="00B36625">
      <w:pPr>
        <w:pStyle w:val="ListParagraph"/>
        <w:numPr>
          <w:ilvl w:val="0"/>
          <w:numId w:val="37"/>
        </w:numPr>
        <w:ind w:left="0"/>
        <w:jc w:val="both"/>
        <w:rPr>
          <w:rFonts w:ascii="Palatino Linotype" w:hAnsi="Palatino Linotype"/>
          <w:lang w:val="en-GB"/>
        </w:rPr>
      </w:pPr>
      <w:r w:rsidRPr="00D67E70">
        <w:rPr>
          <w:rFonts w:ascii="Palatino Linotype" w:hAnsi="Palatino Linotype"/>
          <w:b/>
          <w:bCs/>
          <w:lang w:val="en-GB"/>
        </w:rPr>
        <w:t>On Safeguards Against Abuse and Manipulation</w:t>
      </w:r>
      <w:r w:rsidRPr="00D67E70">
        <w:rPr>
          <w:rFonts w:ascii="Palatino Linotype" w:hAnsi="Palatino Linotype"/>
          <w:lang w:val="en-GB"/>
        </w:rPr>
        <w:t xml:space="preserve"> – Integrity requires credible procedures that are not easily abused, thus it is essential to have transparent, merit-based systems for the selection and promotion of magistrates. Disciplinary systems should be narrowly tailored to genuine misconduct and protected from political or hierarchical abuse. Across some EU member states, ethics have been undermined through manipulated selection procedures, unfair promotions, or disciplinary proceedings used as punishment for independent judges.</w:t>
      </w:r>
    </w:p>
    <w:p w14:paraId="00C25FBA" w14:textId="77777777" w:rsidR="00B36625" w:rsidRDefault="00B36625" w:rsidP="00B36625">
      <w:pPr>
        <w:pStyle w:val="ListParagraph"/>
        <w:ind w:left="360"/>
        <w:jc w:val="both"/>
        <w:rPr>
          <w:rFonts w:ascii="Palatino Linotype" w:hAnsi="Palatino Linotype"/>
          <w:lang w:val="en-GB"/>
        </w:rPr>
      </w:pPr>
    </w:p>
    <w:p w14:paraId="570CCE4B" w14:textId="51112D63" w:rsidR="00B36625" w:rsidRPr="00DE2B09" w:rsidRDefault="00B36625" w:rsidP="00DE2B09">
      <w:pPr>
        <w:pStyle w:val="ListParagraph"/>
        <w:numPr>
          <w:ilvl w:val="0"/>
          <w:numId w:val="37"/>
        </w:numPr>
        <w:ind w:left="0"/>
        <w:jc w:val="both"/>
        <w:rPr>
          <w:rFonts w:ascii="Palatino Linotype" w:hAnsi="Palatino Linotype"/>
          <w:lang w:val="en-GB"/>
        </w:rPr>
      </w:pPr>
      <w:r w:rsidRPr="00D67E70">
        <w:rPr>
          <w:rFonts w:ascii="Palatino Linotype" w:hAnsi="Palatino Linotype"/>
          <w:b/>
          <w:bCs/>
          <w:lang w:val="en-GB"/>
        </w:rPr>
        <w:t>On Creating a</w:t>
      </w:r>
      <w:r>
        <w:rPr>
          <w:rFonts w:ascii="Palatino Linotype" w:hAnsi="Palatino Linotype"/>
          <w:b/>
          <w:bCs/>
          <w:lang w:val="en-GB"/>
        </w:rPr>
        <w:t xml:space="preserve"> Culture of</w:t>
      </w:r>
      <w:r w:rsidRPr="00D67E70">
        <w:rPr>
          <w:rFonts w:ascii="Palatino Linotype" w:hAnsi="Palatino Linotype"/>
          <w:b/>
          <w:bCs/>
          <w:lang w:val="en-GB"/>
        </w:rPr>
        <w:t xml:space="preserve"> Integrity </w:t>
      </w:r>
      <w:r w:rsidRPr="00D67E70">
        <w:rPr>
          <w:rFonts w:ascii="Palatino Linotype" w:hAnsi="Palatino Linotype"/>
          <w:lang w:val="en-GB"/>
        </w:rPr>
        <w:t xml:space="preserve">– Integrity should be internalised through ongoing discussions and community among magistrates in order to cultivate the </w:t>
      </w:r>
      <w:r w:rsidRPr="00DE2B09">
        <w:rPr>
          <w:rFonts w:ascii="Palatino Linotype" w:hAnsi="Palatino Linotype"/>
          <w:i/>
          <w:iCs/>
          <w:lang w:val="en-GB"/>
        </w:rPr>
        <w:t>ethical culture</w:t>
      </w:r>
      <w:r w:rsidRPr="00D67E70">
        <w:rPr>
          <w:rFonts w:ascii="Palatino Linotype" w:hAnsi="Palatino Linotype"/>
          <w:lang w:val="en-GB"/>
        </w:rPr>
        <w:t xml:space="preserve">. It is recommended that during collegial meetings </w:t>
      </w:r>
      <w:r>
        <w:rPr>
          <w:rFonts w:ascii="Palatino Linotype" w:hAnsi="Palatino Linotype"/>
          <w:lang w:val="en-GB"/>
        </w:rPr>
        <w:t>within</w:t>
      </w:r>
      <w:r w:rsidRPr="00D67E70">
        <w:rPr>
          <w:rFonts w:ascii="Palatino Linotype" w:hAnsi="Palatino Linotype"/>
          <w:lang w:val="en-GB"/>
        </w:rPr>
        <w:t xml:space="preserve"> justice institutions a specific focus is given to ethical discussions where issues of conflict of interest, integrity, and moral dilemmas are addressed. </w:t>
      </w:r>
      <w:r w:rsidRPr="00B36625">
        <w:rPr>
          <w:rFonts w:ascii="Palatino Linotype" w:hAnsi="Palatino Linotype"/>
          <w:lang w:val="en-GB"/>
        </w:rPr>
        <w:t xml:space="preserve">The discussions can be established as ethical dilemmas forums where judges discuss </w:t>
      </w:r>
      <w:r w:rsidRPr="00B36625">
        <w:rPr>
          <w:rFonts w:ascii="Palatino Linotype" w:hAnsi="Palatino Linotype"/>
          <w:lang w:val="en-GB"/>
        </w:rPr>
        <w:lastRenderedPageBreak/>
        <w:t xml:space="preserve">and interpret the real scenarios based on the theoretical framework and definitions of integrity. </w:t>
      </w:r>
      <w:r w:rsidRPr="00D67E70">
        <w:rPr>
          <w:rFonts w:ascii="Palatino Linotype" w:hAnsi="Palatino Linotype"/>
          <w:lang w:val="en-GB"/>
        </w:rPr>
        <w:t>One best practice is the creation of tools such as the traffic-light framework (through guidelines and practical examples it clarifies what actions are totally acceptable, which ones are questionable, and which are unacceptable. It has been proven that sharing such examples helps in creating a common practice and vocabulary that can be transmitted to other justice institutions and to future generations of magistrates.</w:t>
      </w:r>
    </w:p>
    <w:p w14:paraId="397823A8" w14:textId="77777777" w:rsidR="00D67E70" w:rsidRDefault="00D67E70" w:rsidP="00D67E70">
      <w:pPr>
        <w:jc w:val="both"/>
        <w:rPr>
          <w:rFonts w:ascii="Palatino Linotype" w:hAnsi="Palatino Linotype"/>
          <w:lang w:val="en-GB"/>
        </w:rPr>
      </w:pPr>
    </w:p>
    <w:p w14:paraId="5A43F22F" w14:textId="21DC9E5F" w:rsidR="00D67E70" w:rsidRPr="00D67E70" w:rsidRDefault="00D67E70" w:rsidP="00D67E70">
      <w:pPr>
        <w:jc w:val="both"/>
        <w:rPr>
          <w:rFonts w:ascii="Palatino Linotype" w:hAnsi="Palatino Linotype"/>
          <w:b/>
          <w:bCs/>
          <w:u w:val="single"/>
          <w:lang w:val="en-GB"/>
        </w:rPr>
      </w:pPr>
      <w:r w:rsidRPr="00D67E70">
        <w:rPr>
          <w:rFonts w:ascii="Palatino Linotype" w:hAnsi="Palatino Linotype"/>
          <w:b/>
          <w:bCs/>
          <w:u w:val="single"/>
          <w:lang w:val="en-GB"/>
        </w:rPr>
        <w:t xml:space="preserve">Cooperation and Openness </w:t>
      </w:r>
    </w:p>
    <w:p w14:paraId="7DD5C129" w14:textId="77777777" w:rsidR="00D67E70" w:rsidRPr="00D67E70" w:rsidRDefault="00D67E70" w:rsidP="00D67E70">
      <w:pPr>
        <w:pStyle w:val="ListParagraph"/>
        <w:rPr>
          <w:rFonts w:ascii="Palatino Linotype" w:hAnsi="Palatino Linotype"/>
          <w:lang w:val="en-GB"/>
        </w:rPr>
      </w:pPr>
    </w:p>
    <w:p w14:paraId="687E4D04" w14:textId="0B8D48EA" w:rsidR="00D67E70" w:rsidRPr="00DE2B09" w:rsidRDefault="00D67E70" w:rsidP="00DE2B09">
      <w:pPr>
        <w:pStyle w:val="ListParagraph"/>
        <w:numPr>
          <w:ilvl w:val="0"/>
          <w:numId w:val="37"/>
        </w:numPr>
        <w:ind w:left="360"/>
        <w:jc w:val="both"/>
        <w:rPr>
          <w:rFonts w:ascii="Palatino Linotype" w:hAnsi="Palatino Linotype"/>
          <w:lang w:val="en-GB"/>
        </w:rPr>
      </w:pPr>
      <w:r w:rsidRPr="00D67E70">
        <w:rPr>
          <w:rFonts w:ascii="Palatino Linotype" w:hAnsi="Palatino Linotype"/>
          <w:b/>
          <w:bCs/>
          <w:lang w:val="en-GB"/>
        </w:rPr>
        <w:t>On Judicial Independence and Public Accountability</w:t>
      </w:r>
      <w:r w:rsidRPr="00D67E70">
        <w:rPr>
          <w:rFonts w:ascii="Palatino Linotype" w:hAnsi="Palatino Linotype"/>
          <w:lang w:val="en-GB"/>
        </w:rPr>
        <w:t xml:space="preserve"> – Magistrates operate in public life and face dilemmas about speech, association, and participation. Clear guidance is needed to balance independence with accountability. This can happen through developing and preparing context-specific guidelines for magistrates’ participation in public life (political affiliation, membership in clubs or business networks, engagement in civic and political life such as demonstrations or media appearances). These guidelines are recommended to include practical examples and a self-assessment checklist concerning integrity and conflict of interest.</w:t>
      </w:r>
    </w:p>
    <w:p w14:paraId="0ABF308A" w14:textId="77777777" w:rsidR="00D67E70" w:rsidRPr="00D67E70" w:rsidRDefault="00D67E70" w:rsidP="00D67E70">
      <w:pPr>
        <w:pStyle w:val="ListParagraph"/>
        <w:rPr>
          <w:rFonts w:ascii="Palatino Linotype" w:hAnsi="Palatino Linotype"/>
          <w:lang w:val="en-GB"/>
        </w:rPr>
      </w:pPr>
    </w:p>
    <w:p w14:paraId="2F44AF03" w14:textId="6AB7B4F5" w:rsidR="00D67E70" w:rsidRPr="00D67E70" w:rsidRDefault="00D67E70" w:rsidP="00D67E70">
      <w:pPr>
        <w:pStyle w:val="ListParagraph"/>
        <w:numPr>
          <w:ilvl w:val="0"/>
          <w:numId w:val="37"/>
        </w:numPr>
        <w:ind w:left="360"/>
        <w:jc w:val="both"/>
        <w:rPr>
          <w:rFonts w:ascii="Palatino Linotype" w:hAnsi="Palatino Linotype"/>
          <w:lang w:val="en-GB"/>
        </w:rPr>
      </w:pPr>
      <w:r w:rsidRPr="00D67E70">
        <w:rPr>
          <w:rFonts w:ascii="Palatino Linotype" w:hAnsi="Palatino Linotype"/>
          <w:b/>
          <w:bCs/>
          <w:lang w:val="en-GB"/>
        </w:rPr>
        <w:t>On Public Trust towards Justice Institutions</w:t>
      </w:r>
      <w:r w:rsidRPr="00D67E70">
        <w:rPr>
          <w:rFonts w:ascii="Palatino Linotype" w:hAnsi="Palatino Linotype"/>
          <w:lang w:val="en-GB"/>
        </w:rPr>
        <w:t xml:space="preserve"> – Judicial integrity is assessed and perceived not only internally but also by society. Public trust collapses when citizens see case manipulation, unfair promotions, or ethical breaches going unaddressed. It is imperative that institutions have transparent procedures, including during the examination, application, and assessment of new magistrates as well as promotions. It is recommended that judicial institutions communicate openly, also welcoming inputs from civil society or academia through training, public activities, and </w:t>
      </w:r>
      <w:r w:rsidR="00DE2B09">
        <w:rPr>
          <w:rFonts w:ascii="Palatino Linotype" w:hAnsi="Palatino Linotype"/>
          <w:lang w:val="en-GB"/>
        </w:rPr>
        <w:t xml:space="preserve">training </w:t>
      </w:r>
      <w:r w:rsidRPr="00D67E70">
        <w:rPr>
          <w:rFonts w:ascii="Palatino Linotype" w:hAnsi="Palatino Linotype"/>
          <w:lang w:val="en-GB"/>
        </w:rPr>
        <w:t>modules. This helps in building a culture of integrity and accountability, while raising awareness on integrity, its relevance, and challenges.</w:t>
      </w:r>
    </w:p>
    <w:p w14:paraId="78FAC999" w14:textId="77777777" w:rsidR="00D67E70" w:rsidRPr="00D67E70" w:rsidRDefault="00D67E70" w:rsidP="00D67E70">
      <w:pPr>
        <w:pStyle w:val="ListParagraph"/>
        <w:jc w:val="both"/>
        <w:rPr>
          <w:rFonts w:ascii="Palatino Linotype" w:hAnsi="Palatino Linotype"/>
          <w:lang w:val="en-GB"/>
        </w:rPr>
      </w:pPr>
    </w:p>
    <w:sectPr w:rsidR="00D67E70" w:rsidRPr="00D67E70" w:rsidSect="00B336C4">
      <w:headerReference w:type="default" r:id="rId7"/>
      <w:footerReference w:type="default" r:id="rId8"/>
      <w:pgSz w:w="12240" w:h="15840"/>
      <w:pgMar w:top="2790" w:right="1440" w:bottom="225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80378" w14:textId="77777777" w:rsidR="004D2161" w:rsidRDefault="004D2161" w:rsidP="00FC0B41">
      <w:pPr>
        <w:spacing w:after="0" w:line="240" w:lineRule="auto"/>
      </w:pPr>
      <w:r>
        <w:separator/>
      </w:r>
    </w:p>
  </w:endnote>
  <w:endnote w:type="continuationSeparator" w:id="0">
    <w:p w14:paraId="2E3ED6C4" w14:textId="77777777" w:rsidR="004D2161" w:rsidRDefault="004D2161" w:rsidP="00FC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nela Light">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A10C" w14:textId="77777777" w:rsidR="001F24B1" w:rsidRPr="008640C6" w:rsidRDefault="001F24B1" w:rsidP="001F24B1">
    <w:pPr>
      <w:spacing w:after="0" w:line="240" w:lineRule="auto"/>
      <w:jc w:val="right"/>
      <w:rPr>
        <w:rFonts w:ascii="Palatino Linotype" w:hAnsi="Palatino Linotype"/>
        <w:i/>
        <w:iCs/>
        <w:color w:val="003399"/>
        <w:sz w:val="16"/>
        <w:szCs w:val="16"/>
      </w:rPr>
    </w:pPr>
    <w:r w:rsidRPr="00A52329">
      <w:rPr>
        <w:rFonts w:ascii="Canela Light" w:hAnsi="Canela Light"/>
        <w:i/>
        <w:iCs/>
        <w:color w:val="0563C1"/>
        <w:sz w:val="18"/>
        <w:szCs w:val="18"/>
      </w:rPr>
      <w:t>This session of the Working Group for Chapter 23 is organized within the framework of the project “Building Partnerships on Fundamental</w:t>
    </w:r>
    <w:r>
      <w:rPr>
        <w:rFonts w:ascii="Canela Light" w:hAnsi="Canela Light"/>
        <w:i/>
        <w:iCs/>
        <w:color w:val="0563C1"/>
        <w:sz w:val="18"/>
        <w:szCs w:val="18"/>
      </w:rPr>
      <w:t>s</w:t>
    </w:r>
    <w:r w:rsidRPr="00A52329">
      <w:rPr>
        <w:rFonts w:ascii="Canela Light" w:hAnsi="Canela Light"/>
        <w:i/>
        <w:iCs/>
        <w:color w:val="0563C1"/>
        <w:sz w:val="18"/>
        <w:szCs w:val="18"/>
      </w:rPr>
      <w:t>: Empowering CSOs for the EU Accession Process,” with the financial support of the European Union – IPA Civil Society Facility 2021. The project is implemented by the European Movement  Albania in cooperation with the Academy of European Integration and Negotiations (AIEN), Slovak Foreign Policy Association (SFPA), and the Center for Transparency and Freedom of Information (CTFI).</w:t>
    </w:r>
  </w:p>
  <w:p w14:paraId="53342DB4" w14:textId="164BFC1A" w:rsidR="005B6F5C" w:rsidRPr="008640C6" w:rsidRDefault="005B6F5C" w:rsidP="008640C6">
    <w:pPr>
      <w:spacing w:after="0" w:line="240" w:lineRule="auto"/>
      <w:jc w:val="right"/>
      <w:rPr>
        <w:rFonts w:ascii="Palatino Linotype" w:hAnsi="Palatino Linotype"/>
        <w:i/>
        <w:iCs/>
        <w:color w:val="00339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56B63" w14:textId="77777777" w:rsidR="004D2161" w:rsidRDefault="004D2161" w:rsidP="00FC0B41">
      <w:pPr>
        <w:spacing w:after="0" w:line="240" w:lineRule="auto"/>
      </w:pPr>
      <w:r>
        <w:separator/>
      </w:r>
    </w:p>
  </w:footnote>
  <w:footnote w:type="continuationSeparator" w:id="0">
    <w:p w14:paraId="1497580B" w14:textId="77777777" w:rsidR="004D2161" w:rsidRDefault="004D2161" w:rsidP="00FC0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D3291" w14:textId="7EECABC1" w:rsidR="009452C5" w:rsidRDefault="003D454B">
    <w:pPr>
      <w:pStyle w:val="Header"/>
    </w:pPr>
    <w:r>
      <w:rPr>
        <w:noProof/>
      </w:rPr>
      <w:drawing>
        <wp:anchor distT="0" distB="0" distL="114300" distR="114300" simplePos="0" relativeHeight="251664384" behindDoc="0" locked="0" layoutInCell="1" allowOverlap="1" wp14:anchorId="58861641" wp14:editId="248FE367">
          <wp:simplePos x="0" y="0"/>
          <wp:positionH relativeFrom="column">
            <wp:posOffset>2546985</wp:posOffset>
          </wp:positionH>
          <wp:positionV relativeFrom="paragraph">
            <wp:posOffset>-184150</wp:posOffset>
          </wp:positionV>
          <wp:extent cx="1104900" cy="970915"/>
          <wp:effectExtent l="0" t="0" r="0" b="635"/>
          <wp:wrapSquare wrapText="bothSides"/>
          <wp:docPr id="2112264090" name="Picture 1" descr="Shkolla e Magjistraturë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kolla e Magjistraturës"/>
                  <pic:cNvPicPr>
                    <a:picLocks noChangeAspect="1" noChangeArrowheads="1"/>
                  </pic:cNvPicPr>
                </pic:nvPicPr>
                <pic:blipFill rotWithShape="1">
                  <a:blip r:embed="rId1">
                    <a:extLst>
                      <a:ext uri="{28A0092B-C50C-407E-A947-70E740481C1C}">
                        <a14:useLocalDpi xmlns:a14="http://schemas.microsoft.com/office/drawing/2010/main" val="0"/>
                      </a:ext>
                    </a:extLst>
                  </a:blip>
                  <a:srcRect r="74092"/>
                  <a:stretch/>
                </pic:blipFill>
                <pic:spPr bwMode="auto">
                  <a:xfrm>
                    <a:off x="0" y="0"/>
                    <a:ext cx="1104900"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4B1">
      <w:rPr>
        <w:noProof/>
        <w:lang w:eastAsia="sq-AL"/>
      </w:rPr>
      <w:drawing>
        <wp:anchor distT="0" distB="0" distL="114300" distR="114300" simplePos="0" relativeHeight="251655168" behindDoc="0" locked="0" layoutInCell="1" allowOverlap="1" wp14:anchorId="1331F308" wp14:editId="0D5EFE5E">
          <wp:simplePos x="0" y="0"/>
          <wp:positionH relativeFrom="margin">
            <wp:posOffset>4914976</wp:posOffset>
          </wp:positionH>
          <wp:positionV relativeFrom="paragraph">
            <wp:posOffset>8477</wp:posOffset>
          </wp:positionV>
          <wp:extent cx="1392555" cy="596265"/>
          <wp:effectExtent l="0" t="0" r="4445" b="635"/>
          <wp:wrapSquare wrapText="bothSides"/>
          <wp:docPr id="846970381" name="Picture 84697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92555" cy="596265"/>
                  </a:xfrm>
                  <a:prstGeom prst="rect">
                    <a:avLst/>
                  </a:prstGeom>
                </pic:spPr>
              </pic:pic>
            </a:graphicData>
          </a:graphic>
          <wp14:sizeRelH relativeFrom="page">
            <wp14:pctWidth>0</wp14:pctWidth>
          </wp14:sizeRelH>
          <wp14:sizeRelV relativeFrom="page">
            <wp14:pctHeight>0</wp14:pctHeight>
          </wp14:sizeRelV>
        </wp:anchor>
      </w:drawing>
    </w:r>
    <w:r w:rsidR="001F24B1">
      <w:rPr>
        <w:noProof/>
      </w:rPr>
      <w:drawing>
        <wp:anchor distT="0" distB="0" distL="114300" distR="114300" simplePos="0" relativeHeight="251662336" behindDoc="0" locked="0" layoutInCell="1" allowOverlap="1" wp14:anchorId="1FBC82E3" wp14:editId="23D3F9B6">
          <wp:simplePos x="0" y="0"/>
          <wp:positionH relativeFrom="column">
            <wp:posOffset>-158115</wp:posOffset>
          </wp:positionH>
          <wp:positionV relativeFrom="paragraph">
            <wp:posOffset>-168275</wp:posOffset>
          </wp:positionV>
          <wp:extent cx="1397000" cy="1025525"/>
          <wp:effectExtent l="0" t="0" r="0" b="0"/>
          <wp:wrapSquare wrapText="bothSides"/>
          <wp:docPr id="424242219" name="Picture 1"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42613" name="Picture 1" descr="A blue flag with yellow stars&#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70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2C5">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2D52"/>
    <w:multiLevelType w:val="hybridMultilevel"/>
    <w:tmpl w:val="DDAC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80B0E"/>
    <w:multiLevelType w:val="hybridMultilevel"/>
    <w:tmpl w:val="81FE6AAE"/>
    <w:lvl w:ilvl="0" w:tplc="748A505E">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DB398F"/>
    <w:multiLevelType w:val="hybridMultilevel"/>
    <w:tmpl w:val="DB96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32B33"/>
    <w:multiLevelType w:val="hybridMultilevel"/>
    <w:tmpl w:val="9716BA5E"/>
    <w:lvl w:ilvl="0" w:tplc="EB4A271A">
      <w:start w:val="24"/>
      <w:numFmt w:val="bullet"/>
      <w:lvlText w:val="-"/>
      <w:lvlJc w:val="left"/>
      <w:pPr>
        <w:ind w:left="720" w:hanging="360"/>
      </w:pPr>
      <w:rPr>
        <w:rFonts w:ascii="Palatino Linotype" w:eastAsiaTheme="minorHAnsi" w:hAnsi="Palatino Linotype"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15:restartNumberingAfterBreak="0">
    <w:nsid w:val="0B3655BB"/>
    <w:multiLevelType w:val="hybridMultilevel"/>
    <w:tmpl w:val="6C94D5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2240C"/>
    <w:multiLevelType w:val="hybridMultilevel"/>
    <w:tmpl w:val="3CF8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65298"/>
    <w:multiLevelType w:val="hybridMultilevel"/>
    <w:tmpl w:val="E4726B6E"/>
    <w:lvl w:ilvl="0" w:tplc="60E6D3CC">
      <w:start w:val="1"/>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6004F"/>
    <w:multiLevelType w:val="hybridMultilevel"/>
    <w:tmpl w:val="73D63872"/>
    <w:lvl w:ilvl="0" w:tplc="6AA0FC60">
      <w:start w:val="15"/>
      <w:numFmt w:val="bullet"/>
      <w:lvlText w:val="-"/>
      <w:lvlJc w:val="left"/>
      <w:pPr>
        <w:ind w:left="1080" w:hanging="360"/>
      </w:pPr>
      <w:rPr>
        <w:rFonts w:ascii="Palatino Linotype" w:eastAsiaTheme="minorHAnsi" w:hAnsi="Palatino Lino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307F58"/>
    <w:multiLevelType w:val="hybridMultilevel"/>
    <w:tmpl w:val="67C2FA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2047FC"/>
    <w:multiLevelType w:val="hybridMultilevel"/>
    <w:tmpl w:val="A2A0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65A01"/>
    <w:multiLevelType w:val="hybridMultilevel"/>
    <w:tmpl w:val="A6D4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617C1"/>
    <w:multiLevelType w:val="hybridMultilevel"/>
    <w:tmpl w:val="83A2766A"/>
    <w:lvl w:ilvl="0" w:tplc="1E68FE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05FDF"/>
    <w:multiLevelType w:val="hybridMultilevel"/>
    <w:tmpl w:val="6A40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02237"/>
    <w:multiLevelType w:val="hybridMultilevel"/>
    <w:tmpl w:val="A2AC2A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6F7355"/>
    <w:multiLevelType w:val="hybridMultilevel"/>
    <w:tmpl w:val="C5DC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A49A6"/>
    <w:multiLevelType w:val="multilevel"/>
    <w:tmpl w:val="43C0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DE1D9D"/>
    <w:multiLevelType w:val="hybridMultilevel"/>
    <w:tmpl w:val="AEC402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C82022"/>
    <w:multiLevelType w:val="hybridMultilevel"/>
    <w:tmpl w:val="BC72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6603A"/>
    <w:multiLevelType w:val="hybridMultilevel"/>
    <w:tmpl w:val="C2B66FC0"/>
    <w:lvl w:ilvl="0" w:tplc="1E68FE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AE0437"/>
    <w:multiLevelType w:val="hybridMultilevel"/>
    <w:tmpl w:val="E51C2526"/>
    <w:lvl w:ilvl="0" w:tplc="79EA6E02">
      <w:start w:val="1"/>
      <w:numFmt w:val="bullet"/>
      <w:lvlText w:val="•"/>
      <w:lvlJc w:val="left"/>
      <w:pPr>
        <w:tabs>
          <w:tab w:val="num" w:pos="720"/>
        </w:tabs>
        <w:ind w:left="720" w:hanging="360"/>
      </w:pPr>
      <w:rPr>
        <w:rFonts w:ascii="Arial" w:hAnsi="Arial" w:hint="default"/>
      </w:rPr>
    </w:lvl>
    <w:lvl w:ilvl="1" w:tplc="AB7683D4">
      <w:start w:val="1"/>
      <w:numFmt w:val="bullet"/>
      <w:lvlText w:val="•"/>
      <w:lvlJc w:val="left"/>
      <w:pPr>
        <w:tabs>
          <w:tab w:val="num" w:pos="1440"/>
        </w:tabs>
        <w:ind w:left="1440" w:hanging="360"/>
      </w:pPr>
      <w:rPr>
        <w:rFonts w:ascii="Arial" w:hAnsi="Arial" w:hint="default"/>
      </w:rPr>
    </w:lvl>
    <w:lvl w:ilvl="2" w:tplc="D0527F10">
      <w:numFmt w:val="bullet"/>
      <w:lvlText w:val="⚬"/>
      <w:lvlJc w:val="left"/>
      <w:pPr>
        <w:tabs>
          <w:tab w:val="num" w:pos="2160"/>
        </w:tabs>
        <w:ind w:left="2160" w:hanging="360"/>
      </w:pPr>
      <w:rPr>
        <w:rFonts w:ascii="Segoe UI Symbol" w:hAnsi="Segoe UI Symbol" w:hint="default"/>
      </w:rPr>
    </w:lvl>
    <w:lvl w:ilvl="3" w:tplc="F7783D6A" w:tentative="1">
      <w:start w:val="1"/>
      <w:numFmt w:val="bullet"/>
      <w:lvlText w:val="•"/>
      <w:lvlJc w:val="left"/>
      <w:pPr>
        <w:tabs>
          <w:tab w:val="num" w:pos="2880"/>
        </w:tabs>
        <w:ind w:left="2880" w:hanging="360"/>
      </w:pPr>
      <w:rPr>
        <w:rFonts w:ascii="Arial" w:hAnsi="Arial" w:hint="default"/>
      </w:rPr>
    </w:lvl>
    <w:lvl w:ilvl="4" w:tplc="93745878" w:tentative="1">
      <w:start w:val="1"/>
      <w:numFmt w:val="bullet"/>
      <w:lvlText w:val="•"/>
      <w:lvlJc w:val="left"/>
      <w:pPr>
        <w:tabs>
          <w:tab w:val="num" w:pos="3600"/>
        </w:tabs>
        <w:ind w:left="3600" w:hanging="360"/>
      </w:pPr>
      <w:rPr>
        <w:rFonts w:ascii="Arial" w:hAnsi="Arial" w:hint="default"/>
      </w:rPr>
    </w:lvl>
    <w:lvl w:ilvl="5" w:tplc="56161810" w:tentative="1">
      <w:start w:val="1"/>
      <w:numFmt w:val="bullet"/>
      <w:lvlText w:val="•"/>
      <w:lvlJc w:val="left"/>
      <w:pPr>
        <w:tabs>
          <w:tab w:val="num" w:pos="4320"/>
        </w:tabs>
        <w:ind w:left="4320" w:hanging="360"/>
      </w:pPr>
      <w:rPr>
        <w:rFonts w:ascii="Arial" w:hAnsi="Arial" w:hint="default"/>
      </w:rPr>
    </w:lvl>
    <w:lvl w:ilvl="6" w:tplc="8FA2DE32" w:tentative="1">
      <w:start w:val="1"/>
      <w:numFmt w:val="bullet"/>
      <w:lvlText w:val="•"/>
      <w:lvlJc w:val="left"/>
      <w:pPr>
        <w:tabs>
          <w:tab w:val="num" w:pos="5040"/>
        </w:tabs>
        <w:ind w:left="5040" w:hanging="360"/>
      </w:pPr>
      <w:rPr>
        <w:rFonts w:ascii="Arial" w:hAnsi="Arial" w:hint="default"/>
      </w:rPr>
    </w:lvl>
    <w:lvl w:ilvl="7" w:tplc="D6E6B1CA" w:tentative="1">
      <w:start w:val="1"/>
      <w:numFmt w:val="bullet"/>
      <w:lvlText w:val="•"/>
      <w:lvlJc w:val="left"/>
      <w:pPr>
        <w:tabs>
          <w:tab w:val="num" w:pos="5760"/>
        </w:tabs>
        <w:ind w:left="5760" w:hanging="360"/>
      </w:pPr>
      <w:rPr>
        <w:rFonts w:ascii="Arial" w:hAnsi="Arial" w:hint="default"/>
      </w:rPr>
    </w:lvl>
    <w:lvl w:ilvl="8" w:tplc="13D427C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3D0715"/>
    <w:multiLevelType w:val="hybridMultilevel"/>
    <w:tmpl w:val="B186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01340D"/>
    <w:multiLevelType w:val="hybridMultilevel"/>
    <w:tmpl w:val="2E7E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B3414"/>
    <w:multiLevelType w:val="hybridMultilevel"/>
    <w:tmpl w:val="30E8B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556BBD"/>
    <w:multiLevelType w:val="hybridMultilevel"/>
    <w:tmpl w:val="E3A02B36"/>
    <w:lvl w:ilvl="0" w:tplc="6AA0FC60">
      <w:start w:val="15"/>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C6C17"/>
    <w:multiLevelType w:val="hybridMultilevel"/>
    <w:tmpl w:val="064261AA"/>
    <w:lvl w:ilvl="0" w:tplc="FD485480">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26416E"/>
    <w:multiLevelType w:val="multilevel"/>
    <w:tmpl w:val="B80C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B602FA"/>
    <w:multiLevelType w:val="hybridMultilevel"/>
    <w:tmpl w:val="55AC0B2E"/>
    <w:lvl w:ilvl="0" w:tplc="E2A2E65E">
      <w:start w:val="20"/>
      <w:numFmt w:val="bullet"/>
      <w:lvlText w:val="-"/>
      <w:lvlJc w:val="left"/>
      <w:pPr>
        <w:ind w:left="720" w:hanging="360"/>
      </w:pPr>
      <w:rPr>
        <w:rFonts w:ascii="Calibri" w:eastAsiaTheme="minorHAnsi"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7" w15:restartNumberingAfterBreak="0">
    <w:nsid w:val="6F84782B"/>
    <w:multiLevelType w:val="hybridMultilevel"/>
    <w:tmpl w:val="BBCE4B48"/>
    <w:lvl w:ilvl="0" w:tplc="8068841E">
      <w:start w:val="1"/>
      <w:numFmt w:val="decimal"/>
      <w:lvlText w:val="%1."/>
      <w:lvlJc w:val="left"/>
      <w:pPr>
        <w:ind w:left="720" w:hanging="360"/>
      </w:pPr>
      <w:rPr>
        <w:rFonts w:ascii="Palatino Linotype" w:eastAsiaTheme="minorHAnsi" w:hAnsi="Palatino Linotype"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C806C7"/>
    <w:multiLevelType w:val="hybridMultilevel"/>
    <w:tmpl w:val="67F8F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422AC9"/>
    <w:multiLevelType w:val="hybridMultilevel"/>
    <w:tmpl w:val="23BAEA84"/>
    <w:lvl w:ilvl="0" w:tplc="748A505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C797C"/>
    <w:multiLevelType w:val="hybridMultilevel"/>
    <w:tmpl w:val="9196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6A25BC"/>
    <w:multiLevelType w:val="hybridMultilevel"/>
    <w:tmpl w:val="875E84FA"/>
    <w:lvl w:ilvl="0" w:tplc="470648E4">
      <w:numFmt w:val="bullet"/>
      <w:lvlText w:val="-"/>
      <w:lvlJc w:val="left"/>
      <w:pPr>
        <w:ind w:left="1440" w:hanging="360"/>
      </w:pPr>
      <w:rPr>
        <w:rFonts w:ascii="Aptos" w:eastAsiaTheme="minorHAnsi" w:hAnsi="Apto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8605D25"/>
    <w:multiLevelType w:val="hybridMultilevel"/>
    <w:tmpl w:val="41DC07CE"/>
    <w:lvl w:ilvl="0" w:tplc="6AA0FC60">
      <w:start w:val="15"/>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68023E"/>
    <w:multiLevelType w:val="hybridMultilevel"/>
    <w:tmpl w:val="54140AFA"/>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4" w15:restartNumberingAfterBreak="0">
    <w:nsid w:val="7A711EA0"/>
    <w:multiLevelType w:val="hybridMultilevel"/>
    <w:tmpl w:val="1480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15556"/>
    <w:multiLevelType w:val="hybridMultilevel"/>
    <w:tmpl w:val="ED3E2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A30D8"/>
    <w:multiLevelType w:val="hybridMultilevel"/>
    <w:tmpl w:val="5EDC9E24"/>
    <w:lvl w:ilvl="0" w:tplc="16586EC8">
      <w:start w:val="15"/>
      <w:numFmt w:val="bullet"/>
      <w:lvlText w:val="-"/>
      <w:lvlJc w:val="left"/>
      <w:pPr>
        <w:ind w:left="1080" w:hanging="360"/>
      </w:pPr>
      <w:rPr>
        <w:rFonts w:ascii="Palatino Linotype" w:eastAsiaTheme="minorHAnsi" w:hAnsi="Palatino Lino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37710579">
    <w:abstractNumId w:val="26"/>
  </w:num>
  <w:num w:numId="2" w16cid:durableId="1034310372">
    <w:abstractNumId w:val="29"/>
  </w:num>
  <w:num w:numId="3" w16cid:durableId="679819882">
    <w:abstractNumId w:val="1"/>
  </w:num>
  <w:num w:numId="4" w16cid:durableId="1135682631">
    <w:abstractNumId w:val="33"/>
  </w:num>
  <w:num w:numId="5" w16cid:durableId="1829243418">
    <w:abstractNumId w:val="3"/>
  </w:num>
  <w:num w:numId="6" w16cid:durableId="1440678509">
    <w:abstractNumId w:val="11"/>
  </w:num>
  <w:num w:numId="7" w16cid:durableId="1889952503">
    <w:abstractNumId w:val="18"/>
  </w:num>
  <w:num w:numId="8" w16cid:durableId="1185948712">
    <w:abstractNumId w:val="15"/>
  </w:num>
  <w:num w:numId="9" w16cid:durableId="2007633399">
    <w:abstractNumId w:val="25"/>
  </w:num>
  <w:num w:numId="10" w16cid:durableId="1671329956">
    <w:abstractNumId w:val="34"/>
  </w:num>
  <w:num w:numId="11" w16cid:durableId="384766422">
    <w:abstractNumId w:val="24"/>
  </w:num>
  <w:num w:numId="12" w16cid:durableId="953318784">
    <w:abstractNumId w:val="35"/>
  </w:num>
  <w:num w:numId="13" w16cid:durableId="454565920">
    <w:abstractNumId w:val="9"/>
  </w:num>
  <w:num w:numId="14" w16cid:durableId="1427076504">
    <w:abstractNumId w:val="0"/>
  </w:num>
  <w:num w:numId="15" w16cid:durableId="1889343039">
    <w:abstractNumId w:val="10"/>
  </w:num>
  <w:num w:numId="16" w16cid:durableId="969287723">
    <w:abstractNumId w:val="7"/>
  </w:num>
  <w:num w:numId="17" w16cid:durableId="319817986">
    <w:abstractNumId w:val="12"/>
  </w:num>
  <w:num w:numId="18" w16cid:durableId="83572904">
    <w:abstractNumId w:val="19"/>
  </w:num>
  <w:num w:numId="19" w16cid:durableId="1852795213">
    <w:abstractNumId w:val="4"/>
  </w:num>
  <w:num w:numId="20" w16cid:durableId="1682076004">
    <w:abstractNumId w:val="23"/>
  </w:num>
  <w:num w:numId="21" w16cid:durableId="728192398">
    <w:abstractNumId w:val="28"/>
  </w:num>
  <w:num w:numId="22" w16cid:durableId="605772231">
    <w:abstractNumId w:val="30"/>
  </w:num>
  <w:num w:numId="23" w16cid:durableId="1881045436">
    <w:abstractNumId w:val="32"/>
  </w:num>
  <w:num w:numId="24" w16cid:durableId="1841192567">
    <w:abstractNumId w:val="21"/>
  </w:num>
  <w:num w:numId="25" w16cid:durableId="425884927">
    <w:abstractNumId w:val="36"/>
  </w:num>
  <w:num w:numId="26" w16cid:durableId="154033413">
    <w:abstractNumId w:val="20"/>
  </w:num>
  <w:num w:numId="27" w16cid:durableId="1738818770">
    <w:abstractNumId w:val="27"/>
  </w:num>
  <w:num w:numId="28" w16cid:durableId="777023231">
    <w:abstractNumId w:val="2"/>
  </w:num>
  <w:num w:numId="29" w16cid:durableId="859972257">
    <w:abstractNumId w:val="6"/>
  </w:num>
  <w:num w:numId="30" w16cid:durableId="1168712166">
    <w:abstractNumId w:val="16"/>
  </w:num>
  <w:num w:numId="31" w16cid:durableId="1759213036">
    <w:abstractNumId w:val="14"/>
  </w:num>
  <w:num w:numId="32" w16cid:durableId="1482887132">
    <w:abstractNumId w:val="5"/>
  </w:num>
  <w:num w:numId="33" w16cid:durableId="1050491701">
    <w:abstractNumId w:val="8"/>
  </w:num>
  <w:num w:numId="34" w16cid:durableId="1407721571">
    <w:abstractNumId w:val="13"/>
  </w:num>
  <w:num w:numId="35" w16cid:durableId="1781559889">
    <w:abstractNumId w:val="22"/>
  </w:num>
  <w:num w:numId="36" w16cid:durableId="1766267374">
    <w:abstractNumId w:val="31"/>
  </w:num>
  <w:num w:numId="37" w16cid:durableId="8983246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7E"/>
    <w:rsid w:val="00000936"/>
    <w:rsid w:val="00015949"/>
    <w:rsid w:val="00020CA1"/>
    <w:rsid w:val="00022EEB"/>
    <w:rsid w:val="000430FF"/>
    <w:rsid w:val="00047658"/>
    <w:rsid w:val="00054A0C"/>
    <w:rsid w:val="0006547C"/>
    <w:rsid w:val="00070C34"/>
    <w:rsid w:val="00084B5D"/>
    <w:rsid w:val="00086DE1"/>
    <w:rsid w:val="000A191A"/>
    <w:rsid w:val="000A58C4"/>
    <w:rsid w:val="000A6D2A"/>
    <w:rsid w:val="000B5DBE"/>
    <w:rsid w:val="000B6350"/>
    <w:rsid w:val="000C36ED"/>
    <w:rsid w:val="000D00CF"/>
    <w:rsid w:val="000D0DF9"/>
    <w:rsid w:val="000D4CF0"/>
    <w:rsid w:val="000D65D2"/>
    <w:rsid w:val="000D74A2"/>
    <w:rsid w:val="000E0FED"/>
    <w:rsid w:val="000F173B"/>
    <w:rsid w:val="000F236E"/>
    <w:rsid w:val="000F62ED"/>
    <w:rsid w:val="00106CDB"/>
    <w:rsid w:val="001126AC"/>
    <w:rsid w:val="00117993"/>
    <w:rsid w:val="00141824"/>
    <w:rsid w:val="00142CF7"/>
    <w:rsid w:val="00143154"/>
    <w:rsid w:val="00145F33"/>
    <w:rsid w:val="0015475B"/>
    <w:rsid w:val="001557CC"/>
    <w:rsid w:val="00157423"/>
    <w:rsid w:val="00173800"/>
    <w:rsid w:val="001862C9"/>
    <w:rsid w:val="001A7CC8"/>
    <w:rsid w:val="001A7E9D"/>
    <w:rsid w:val="001C4EF5"/>
    <w:rsid w:val="001C7C1E"/>
    <w:rsid w:val="001F24B1"/>
    <w:rsid w:val="001F5623"/>
    <w:rsid w:val="002037FF"/>
    <w:rsid w:val="00224D1B"/>
    <w:rsid w:val="002353CD"/>
    <w:rsid w:val="00235CAB"/>
    <w:rsid w:val="0025131D"/>
    <w:rsid w:val="0025566C"/>
    <w:rsid w:val="002742BA"/>
    <w:rsid w:val="002807F9"/>
    <w:rsid w:val="00282F04"/>
    <w:rsid w:val="0029580C"/>
    <w:rsid w:val="002A4458"/>
    <w:rsid w:val="002D26ED"/>
    <w:rsid w:val="002E3AF0"/>
    <w:rsid w:val="002E3E72"/>
    <w:rsid w:val="002F0C22"/>
    <w:rsid w:val="002F57D9"/>
    <w:rsid w:val="002F6495"/>
    <w:rsid w:val="00300556"/>
    <w:rsid w:val="003115B5"/>
    <w:rsid w:val="00314369"/>
    <w:rsid w:val="003303D6"/>
    <w:rsid w:val="0033248F"/>
    <w:rsid w:val="0033381E"/>
    <w:rsid w:val="00333A64"/>
    <w:rsid w:val="0033460F"/>
    <w:rsid w:val="00352484"/>
    <w:rsid w:val="00390B52"/>
    <w:rsid w:val="00395808"/>
    <w:rsid w:val="00397E85"/>
    <w:rsid w:val="003C7D5B"/>
    <w:rsid w:val="003D205D"/>
    <w:rsid w:val="003D35EA"/>
    <w:rsid w:val="003D454B"/>
    <w:rsid w:val="003E5EF6"/>
    <w:rsid w:val="003F4322"/>
    <w:rsid w:val="004036E0"/>
    <w:rsid w:val="00404ADF"/>
    <w:rsid w:val="00405303"/>
    <w:rsid w:val="00430B0C"/>
    <w:rsid w:val="0044178D"/>
    <w:rsid w:val="00441D8E"/>
    <w:rsid w:val="00447910"/>
    <w:rsid w:val="00451F6E"/>
    <w:rsid w:val="00460E86"/>
    <w:rsid w:val="00473756"/>
    <w:rsid w:val="004768D5"/>
    <w:rsid w:val="00493DA7"/>
    <w:rsid w:val="004C4E07"/>
    <w:rsid w:val="004C53F3"/>
    <w:rsid w:val="004D0719"/>
    <w:rsid w:val="004D2161"/>
    <w:rsid w:val="004D3BE2"/>
    <w:rsid w:val="004F15E2"/>
    <w:rsid w:val="004F6B13"/>
    <w:rsid w:val="00521DF0"/>
    <w:rsid w:val="00543BD8"/>
    <w:rsid w:val="005444E9"/>
    <w:rsid w:val="005448FC"/>
    <w:rsid w:val="00546612"/>
    <w:rsid w:val="0055532F"/>
    <w:rsid w:val="00556C09"/>
    <w:rsid w:val="00583A46"/>
    <w:rsid w:val="00585B5D"/>
    <w:rsid w:val="00592708"/>
    <w:rsid w:val="00596863"/>
    <w:rsid w:val="005A7ECE"/>
    <w:rsid w:val="005B14C9"/>
    <w:rsid w:val="005B638B"/>
    <w:rsid w:val="005B65D0"/>
    <w:rsid w:val="005B6F5C"/>
    <w:rsid w:val="005C71E2"/>
    <w:rsid w:val="005D2F16"/>
    <w:rsid w:val="005D6792"/>
    <w:rsid w:val="005D6964"/>
    <w:rsid w:val="005E117F"/>
    <w:rsid w:val="005F5CE3"/>
    <w:rsid w:val="005F6325"/>
    <w:rsid w:val="00603DFF"/>
    <w:rsid w:val="00613183"/>
    <w:rsid w:val="00651571"/>
    <w:rsid w:val="00651B95"/>
    <w:rsid w:val="00656CB2"/>
    <w:rsid w:val="006642EE"/>
    <w:rsid w:val="00667751"/>
    <w:rsid w:val="00670FD0"/>
    <w:rsid w:val="00682482"/>
    <w:rsid w:val="00690D0A"/>
    <w:rsid w:val="00690F4E"/>
    <w:rsid w:val="006C05F2"/>
    <w:rsid w:val="006C2FA9"/>
    <w:rsid w:val="006C7134"/>
    <w:rsid w:val="006D438A"/>
    <w:rsid w:val="006E60AB"/>
    <w:rsid w:val="006F7034"/>
    <w:rsid w:val="00700976"/>
    <w:rsid w:val="00703B14"/>
    <w:rsid w:val="007114C9"/>
    <w:rsid w:val="00725D4F"/>
    <w:rsid w:val="00745524"/>
    <w:rsid w:val="00751CE0"/>
    <w:rsid w:val="00754089"/>
    <w:rsid w:val="007636BB"/>
    <w:rsid w:val="00783DCF"/>
    <w:rsid w:val="007908DD"/>
    <w:rsid w:val="007A002A"/>
    <w:rsid w:val="007A43A6"/>
    <w:rsid w:val="007B030D"/>
    <w:rsid w:val="007C24B1"/>
    <w:rsid w:val="008001CF"/>
    <w:rsid w:val="00800776"/>
    <w:rsid w:val="008176DD"/>
    <w:rsid w:val="00821F71"/>
    <w:rsid w:val="00826F71"/>
    <w:rsid w:val="00833791"/>
    <w:rsid w:val="00842B70"/>
    <w:rsid w:val="008432FB"/>
    <w:rsid w:val="00861D29"/>
    <w:rsid w:val="008640C6"/>
    <w:rsid w:val="00881257"/>
    <w:rsid w:val="008C1B93"/>
    <w:rsid w:val="008C748A"/>
    <w:rsid w:val="008D1D5D"/>
    <w:rsid w:val="00905832"/>
    <w:rsid w:val="00911F47"/>
    <w:rsid w:val="00927B62"/>
    <w:rsid w:val="00932F00"/>
    <w:rsid w:val="00934E50"/>
    <w:rsid w:val="0094428E"/>
    <w:rsid w:val="009442CC"/>
    <w:rsid w:val="009452C5"/>
    <w:rsid w:val="00980F9A"/>
    <w:rsid w:val="00983BDA"/>
    <w:rsid w:val="009A0F6D"/>
    <w:rsid w:val="009A34A8"/>
    <w:rsid w:val="009A3B0D"/>
    <w:rsid w:val="009C7AC0"/>
    <w:rsid w:val="009F52E8"/>
    <w:rsid w:val="00A26507"/>
    <w:rsid w:val="00A3042C"/>
    <w:rsid w:val="00A41E0E"/>
    <w:rsid w:val="00A4300E"/>
    <w:rsid w:val="00A53A46"/>
    <w:rsid w:val="00A6122E"/>
    <w:rsid w:val="00A771CA"/>
    <w:rsid w:val="00A85EDB"/>
    <w:rsid w:val="00A92CCF"/>
    <w:rsid w:val="00AA2F47"/>
    <w:rsid w:val="00AC744F"/>
    <w:rsid w:val="00AE38DC"/>
    <w:rsid w:val="00AE5E50"/>
    <w:rsid w:val="00AF0D93"/>
    <w:rsid w:val="00B00527"/>
    <w:rsid w:val="00B157E1"/>
    <w:rsid w:val="00B16685"/>
    <w:rsid w:val="00B336C4"/>
    <w:rsid w:val="00B36625"/>
    <w:rsid w:val="00B36DF0"/>
    <w:rsid w:val="00B416BE"/>
    <w:rsid w:val="00B520D2"/>
    <w:rsid w:val="00B70CA6"/>
    <w:rsid w:val="00B863CD"/>
    <w:rsid w:val="00B915A4"/>
    <w:rsid w:val="00B94861"/>
    <w:rsid w:val="00BA303B"/>
    <w:rsid w:val="00BA523C"/>
    <w:rsid w:val="00BB5C71"/>
    <w:rsid w:val="00BC599C"/>
    <w:rsid w:val="00BD27DE"/>
    <w:rsid w:val="00BD4546"/>
    <w:rsid w:val="00BD5B0C"/>
    <w:rsid w:val="00BE4587"/>
    <w:rsid w:val="00BE77B4"/>
    <w:rsid w:val="00BF467A"/>
    <w:rsid w:val="00C0014B"/>
    <w:rsid w:val="00C01A9F"/>
    <w:rsid w:val="00C14D04"/>
    <w:rsid w:val="00C20B1D"/>
    <w:rsid w:val="00C425DD"/>
    <w:rsid w:val="00C50740"/>
    <w:rsid w:val="00C553FF"/>
    <w:rsid w:val="00C64329"/>
    <w:rsid w:val="00C6656D"/>
    <w:rsid w:val="00CB2D47"/>
    <w:rsid w:val="00CB7874"/>
    <w:rsid w:val="00CC3B7A"/>
    <w:rsid w:val="00CD0381"/>
    <w:rsid w:val="00CE02B4"/>
    <w:rsid w:val="00D10D84"/>
    <w:rsid w:val="00D10F20"/>
    <w:rsid w:val="00D3015A"/>
    <w:rsid w:val="00D339F2"/>
    <w:rsid w:val="00D45AD9"/>
    <w:rsid w:val="00D61120"/>
    <w:rsid w:val="00D61EE5"/>
    <w:rsid w:val="00D67E70"/>
    <w:rsid w:val="00D76558"/>
    <w:rsid w:val="00D84436"/>
    <w:rsid w:val="00D96D66"/>
    <w:rsid w:val="00DA1575"/>
    <w:rsid w:val="00DA392E"/>
    <w:rsid w:val="00DB3E72"/>
    <w:rsid w:val="00DC3613"/>
    <w:rsid w:val="00DC3F96"/>
    <w:rsid w:val="00DC4251"/>
    <w:rsid w:val="00DC5249"/>
    <w:rsid w:val="00DC5925"/>
    <w:rsid w:val="00DE2B09"/>
    <w:rsid w:val="00DF2101"/>
    <w:rsid w:val="00DF6889"/>
    <w:rsid w:val="00E0134D"/>
    <w:rsid w:val="00E05B99"/>
    <w:rsid w:val="00E076D6"/>
    <w:rsid w:val="00E10F80"/>
    <w:rsid w:val="00E3188F"/>
    <w:rsid w:val="00E33E7E"/>
    <w:rsid w:val="00E37B04"/>
    <w:rsid w:val="00E4347C"/>
    <w:rsid w:val="00E47CA0"/>
    <w:rsid w:val="00E51D76"/>
    <w:rsid w:val="00E56AFC"/>
    <w:rsid w:val="00E671E3"/>
    <w:rsid w:val="00E70F1A"/>
    <w:rsid w:val="00E81775"/>
    <w:rsid w:val="00E940F5"/>
    <w:rsid w:val="00EA5B4F"/>
    <w:rsid w:val="00EB403D"/>
    <w:rsid w:val="00EB78BD"/>
    <w:rsid w:val="00EC0240"/>
    <w:rsid w:val="00EC0C62"/>
    <w:rsid w:val="00EE0DC7"/>
    <w:rsid w:val="00EE1FA8"/>
    <w:rsid w:val="00EE629C"/>
    <w:rsid w:val="00EE704F"/>
    <w:rsid w:val="00EF7A3E"/>
    <w:rsid w:val="00F00C70"/>
    <w:rsid w:val="00F02C1D"/>
    <w:rsid w:val="00F0337E"/>
    <w:rsid w:val="00F06B17"/>
    <w:rsid w:val="00F12DC6"/>
    <w:rsid w:val="00F13251"/>
    <w:rsid w:val="00F162A5"/>
    <w:rsid w:val="00F34232"/>
    <w:rsid w:val="00F35652"/>
    <w:rsid w:val="00F51C7C"/>
    <w:rsid w:val="00F60EB2"/>
    <w:rsid w:val="00F742F2"/>
    <w:rsid w:val="00F82282"/>
    <w:rsid w:val="00F9695C"/>
    <w:rsid w:val="00FB178C"/>
    <w:rsid w:val="00FC0B41"/>
    <w:rsid w:val="00FC1D7B"/>
    <w:rsid w:val="00FE2D45"/>
    <w:rsid w:val="00FE4944"/>
    <w:rsid w:val="00FF2B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45369"/>
  <w15:docId w15:val="{4B304392-EBE3-4D07-A460-9C0B513D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3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D66"/>
    <w:pPr>
      <w:ind w:left="720"/>
      <w:contextualSpacing/>
    </w:pPr>
  </w:style>
  <w:style w:type="paragraph" w:styleId="Header">
    <w:name w:val="header"/>
    <w:basedOn w:val="Normal"/>
    <w:link w:val="HeaderChar"/>
    <w:uiPriority w:val="99"/>
    <w:unhideWhenUsed/>
    <w:rsid w:val="00FC0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B41"/>
  </w:style>
  <w:style w:type="paragraph" w:styleId="Footer">
    <w:name w:val="footer"/>
    <w:basedOn w:val="Normal"/>
    <w:link w:val="FooterChar"/>
    <w:uiPriority w:val="99"/>
    <w:unhideWhenUsed/>
    <w:rsid w:val="00FC0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B41"/>
  </w:style>
  <w:style w:type="character" w:styleId="Hyperlink">
    <w:name w:val="Hyperlink"/>
    <w:basedOn w:val="DefaultParagraphFont"/>
    <w:uiPriority w:val="99"/>
    <w:unhideWhenUsed/>
    <w:rsid w:val="00084B5D"/>
    <w:rPr>
      <w:color w:val="0563C1" w:themeColor="hyperlink"/>
      <w:u w:val="single"/>
    </w:rPr>
  </w:style>
  <w:style w:type="character" w:customStyle="1" w:styleId="UnresolvedMention1">
    <w:name w:val="Unresolved Mention1"/>
    <w:basedOn w:val="DefaultParagraphFont"/>
    <w:uiPriority w:val="99"/>
    <w:semiHidden/>
    <w:unhideWhenUsed/>
    <w:rsid w:val="00084B5D"/>
    <w:rPr>
      <w:color w:val="605E5C"/>
      <w:shd w:val="clear" w:color="auto" w:fill="E1DFDD"/>
    </w:rPr>
  </w:style>
  <w:style w:type="character" w:styleId="CommentReference">
    <w:name w:val="annotation reference"/>
    <w:basedOn w:val="DefaultParagraphFont"/>
    <w:uiPriority w:val="99"/>
    <w:semiHidden/>
    <w:unhideWhenUsed/>
    <w:rsid w:val="00833791"/>
    <w:rPr>
      <w:sz w:val="16"/>
      <w:szCs w:val="16"/>
    </w:rPr>
  </w:style>
  <w:style w:type="paragraph" w:styleId="CommentText">
    <w:name w:val="annotation text"/>
    <w:basedOn w:val="Normal"/>
    <w:link w:val="CommentTextChar"/>
    <w:uiPriority w:val="99"/>
    <w:semiHidden/>
    <w:unhideWhenUsed/>
    <w:rsid w:val="00833791"/>
    <w:pPr>
      <w:spacing w:line="240" w:lineRule="auto"/>
    </w:pPr>
    <w:rPr>
      <w:sz w:val="20"/>
      <w:szCs w:val="20"/>
    </w:rPr>
  </w:style>
  <w:style w:type="character" w:customStyle="1" w:styleId="CommentTextChar">
    <w:name w:val="Comment Text Char"/>
    <w:basedOn w:val="DefaultParagraphFont"/>
    <w:link w:val="CommentText"/>
    <w:uiPriority w:val="99"/>
    <w:semiHidden/>
    <w:rsid w:val="00833791"/>
    <w:rPr>
      <w:sz w:val="20"/>
      <w:szCs w:val="20"/>
    </w:rPr>
  </w:style>
  <w:style w:type="paragraph" w:styleId="CommentSubject">
    <w:name w:val="annotation subject"/>
    <w:basedOn w:val="CommentText"/>
    <w:next w:val="CommentText"/>
    <w:link w:val="CommentSubjectChar"/>
    <w:uiPriority w:val="99"/>
    <w:semiHidden/>
    <w:unhideWhenUsed/>
    <w:rsid w:val="00833791"/>
    <w:rPr>
      <w:b/>
      <w:bCs/>
    </w:rPr>
  </w:style>
  <w:style w:type="character" w:customStyle="1" w:styleId="CommentSubjectChar">
    <w:name w:val="Comment Subject Char"/>
    <w:basedOn w:val="CommentTextChar"/>
    <w:link w:val="CommentSubject"/>
    <w:uiPriority w:val="99"/>
    <w:semiHidden/>
    <w:rsid w:val="00833791"/>
    <w:rPr>
      <w:b/>
      <w:bCs/>
      <w:sz w:val="20"/>
      <w:szCs w:val="20"/>
    </w:rPr>
  </w:style>
  <w:style w:type="paragraph" w:styleId="BalloonText">
    <w:name w:val="Balloon Text"/>
    <w:basedOn w:val="Normal"/>
    <w:link w:val="BalloonTextChar"/>
    <w:uiPriority w:val="99"/>
    <w:semiHidden/>
    <w:unhideWhenUsed/>
    <w:rsid w:val="00833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791"/>
    <w:rPr>
      <w:rFonts w:ascii="Tahoma" w:hAnsi="Tahoma" w:cs="Tahoma"/>
      <w:sz w:val="16"/>
      <w:szCs w:val="16"/>
    </w:rPr>
  </w:style>
  <w:style w:type="character" w:styleId="UnresolvedMention">
    <w:name w:val="Unresolved Mention"/>
    <w:basedOn w:val="DefaultParagraphFont"/>
    <w:uiPriority w:val="99"/>
    <w:semiHidden/>
    <w:unhideWhenUsed/>
    <w:rsid w:val="00DF2101"/>
    <w:rPr>
      <w:color w:val="605E5C"/>
      <w:shd w:val="clear" w:color="auto" w:fill="E1DFDD"/>
    </w:rPr>
  </w:style>
  <w:style w:type="character" w:styleId="Strong">
    <w:name w:val="Strong"/>
    <w:basedOn w:val="DefaultParagraphFont"/>
    <w:uiPriority w:val="22"/>
    <w:qFormat/>
    <w:rsid w:val="006642EE"/>
    <w:rPr>
      <w:b/>
      <w:bCs/>
    </w:rPr>
  </w:style>
  <w:style w:type="paragraph" w:styleId="NormalWeb">
    <w:name w:val="Normal (Web)"/>
    <w:basedOn w:val="Normal"/>
    <w:uiPriority w:val="99"/>
    <w:unhideWhenUsed/>
    <w:rsid w:val="003F432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71546">
      <w:bodyDiv w:val="1"/>
      <w:marLeft w:val="0"/>
      <w:marRight w:val="0"/>
      <w:marTop w:val="0"/>
      <w:marBottom w:val="0"/>
      <w:divBdr>
        <w:top w:val="none" w:sz="0" w:space="0" w:color="auto"/>
        <w:left w:val="none" w:sz="0" w:space="0" w:color="auto"/>
        <w:bottom w:val="none" w:sz="0" w:space="0" w:color="auto"/>
        <w:right w:val="none" w:sz="0" w:space="0" w:color="auto"/>
      </w:divBdr>
      <w:divsChild>
        <w:div w:id="1552031625">
          <w:marLeft w:val="1426"/>
          <w:marRight w:val="0"/>
          <w:marTop w:val="0"/>
          <w:marBottom w:val="0"/>
          <w:divBdr>
            <w:top w:val="none" w:sz="0" w:space="0" w:color="auto"/>
            <w:left w:val="none" w:sz="0" w:space="0" w:color="auto"/>
            <w:bottom w:val="none" w:sz="0" w:space="0" w:color="auto"/>
            <w:right w:val="none" w:sz="0" w:space="0" w:color="auto"/>
          </w:divBdr>
        </w:div>
        <w:div w:id="1001467629">
          <w:marLeft w:val="2794"/>
          <w:marRight w:val="0"/>
          <w:marTop w:val="0"/>
          <w:marBottom w:val="0"/>
          <w:divBdr>
            <w:top w:val="none" w:sz="0" w:space="0" w:color="auto"/>
            <w:left w:val="none" w:sz="0" w:space="0" w:color="auto"/>
            <w:bottom w:val="none" w:sz="0" w:space="0" w:color="auto"/>
            <w:right w:val="none" w:sz="0" w:space="0" w:color="auto"/>
          </w:divBdr>
        </w:div>
        <w:div w:id="686565746">
          <w:marLeft w:val="2995"/>
          <w:marRight w:val="0"/>
          <w:marTop w:val="0"/>
          <w:marBottom w:val="0"/>
          <w:divBdr>
            <w:top w:val="none" w:sz="0" w:space="0" w:color="auto"/>
            <w:left w:val="none" w:sz="0" w:space="0" w:color="auto"/>
            <w:bottom w:val="none" w:sz="0" w:space="0" w:color="auto"/>
            <w:right w:val="none" w:sz="0" w:space="0" w:color="auto"/>
          </w:divBdr>
        </w:div>
        <w:div w:id="989405396">
          <w:marLeft w:val="2851"/>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
    <w:div w:id="751971316">
      <w:bodyDiv w:val="1"/>
      <w:marLeft w:val="0"/>
      <w:marRight w:val="0"/>
      <w:marTop w:val="0"/>
      <w:marBottom w:val="0"/>
      <w:divBdr>
        <w:top w:val="none" w:sz="0" w:space="0" w:color="auto"/>
        <w:left w:val="none" w:sz="0" w:space="0" w:color="auto"/>
        <w:bottom w:val="none" w:sz="0" w:space="0" w:color="auto"/>
        <w:right w:val="none" w:sz="0" w:space="0" w:color="auto"/>
      </w:divBdr>
    </w:div>
    <w:div w:id="1014918133">
      <w:bodyDiv w:val="1"/>
      <w:marLeft w:val="0"/>
      <w:marRight w:val="0"/>
      <w:marTop w:val="0"/>
      <w:marBottom w:val="0"/>
      <w:divBdr>
        <w:top w:val="none" w:sz="0" w:space="0" w:color="auto"/>
        <w:left w:val="none" w:sz="0" w:space="0" w:color="auto"/>
        <w:bottom w:val="none" w:sz="0" w:space="0" w:color="auto"/>
        <w:right w:val="none" w:sz="0" w:space="0" w:color="auto"/>
      </w:divBdr>
    </w:div>
    <w:div w:id="1060323154">
      <w:bodyDiv w:val="1"/>
      <w:marLeft w:val="0"/>
      <w:marRight w:val="0"/>
      <w:marTop w:val="0"/>
      <w:marBottom w:val="0"/>
      <w:divBdr>
        <w:top w:val="none" w:sz="0" w:space="0" w:color="auto"/>
        <w:left w:val="none" w:sz="0" w:space="0" w:color="auto"/>
        <w:bottom w:val="none" w:sz="0" w:space="0" w:color="auto"/>
        <w:right w:val="none" w:sz="0" w:space="0" w:color="auto"/>
      </w:divBdr>
    </w:div>
    <w:div w:id="1250239003">
      <w:bodyDiv w:val="1"/>
      <w:marLeft w:val="0"/>
      <w:marRight w:val="0"/>
      <w:marTop w:val="0"/>
      <w:marBottom w:val="0"/>
      <w:divBdr>
        <w:top w:val="none" w:sz="0" w:space="0" w:color="auto"/>
        <w:left w:val="none" w:sz="0" w:space="0" w:color="auto"/>
        <w:bottom w:val="none" w:sz="0" w:space="0" w:color="auto"/>
        <w:right w:val="none" w:sz="0" w:space="0" w:color="auto"/>
      </w:divBdr>
    </w:div>
    <w:div w:id="1387528623">
      <w:bodyDiv w:val="1"/>
      <w:marLeft w:val="0"/>
      <w:marRight w:val="0"/>
      <w:marTop w:val="0"/>
      <w:marBottom w:val="0"/>
      <w:divBdr>
        <w:top w:val="none" w:sz="0" w:space="0" w:color="auto"/>
        <w:left w:val="none" w:sz="0" w:space="0" w:color="auto"/>
        <w:bottom w:val="none" w:sz="0" w:space="0" w:color="auto"/>
        <w:right w:val="none" w:sz="0" w:space="0" w:color="auto"/>
      </w:divBdr>
    </w:div>
    <w:div w:id="2062366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Nirvana Deliu</dc:creator>
  <cp:keywords/>
  <dc:description/>
  <cp:lastModifiedBy>Nirvana Deliu</cp:lastModifiedBy>
  <cp:revision>9</cp:revision>
  <cp:lastPrinted>2025-04-25T12:58:00Z</cp:lastPrinted>
  <dcterms:created xsi:type="dcterms:W3CDTF">2025-07-24T09:53:00Z</dcterms:created>
  <dcterms:modified xsi:type="dcterms:W3CDTF">2025-09-08T14:36:00Z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2025-06-04T10:07:06Z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a6d8c142-f9de-4d0d-ba68-55029357c417</vt:lpwstr>
  </property>
  <property fmtid="{D5CDD505-2E9C-101B-9397-08002B2CF9AE}" pid="7" name="MSIP_Label_defa4170-0d19-0005-0004-bc88714345d2_ActionId">
    <vt:lpwstr>5bc33cf2-aef1-47ff-8cd7-7223ff98aa91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